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152D" w14:textId="77777777" w:rsidR="002F50C1" w:rsidRDefault="002F50C1" w:rsidP="00BC7A17">
      <w:pPr>
        <w:adjustRightInd w:val="0"/>
        <w:spacing w:after="240"/>
        <w:rPr>
          <w:rFonts w:cs="Arial"/>
          <w:b/>
          <w:color w:val="0070C0"/>
        </w:rPr>
      </w:pPr>
    </w:p>
    <w:p w14:paraId="300E47E0" w14:textId="7FA518FF" w:rsidR="00BC7A17" w:rsidRPr="007D09C5" w:rsidRDefault="00195BB4" w:rsidP="00BC7A17">
      <w:pPr>
        <w:adjustRightInd w:val="0"/>
        <w:spacing w:after="240"/>
        <w:rPr>
          <w:rFonts w:cs="Arial"/>
          <w:b/>
          <w:color w:val="0070C0"/>
        </w:rPr>
      </w:pPr>
      <w:r>
        <w:rPr>
          <w:rFonts w:cs="Arial"/>
          <w:b/>
          <w:color w:val="0070C0"/>
        </w:rPr>
        <w:t>PLACEMENT</w:t>
      </w:r>
      <w:r w:rsidR="00BC7A17" w:rsidRPr="007D09C5">
        <w:rPr>
          <w:rFonts w:cs="Arial"/>
          <w:b/>
          <w:color w:val="0070C0"/>
        </w:rPr>
        <w:t xml:space="preserve"> REPORT</w:t>
      </w:r>
    </w:p>
    <w:p w14:paraId="2EE81ED6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>Systemic Competency Scale</w:t>
      </w:r>
    </w:p>
    <w:p w14:paraId="19F3D601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>
        <w:rPr>
          <w:rFonts w:cs="Arial"/>
          <w:b/>
        </w:rPr>
        <w:t>(</w:t>
      </w:r>
      <w:r w:rsidRPr="0076299C">
        <w:rPr>
          <w:rFonts w:cs="Arial"/>
          <w:b/>
        </w:rPr>
        <w:t xml:space="preserve">Please see guidance notes </w:t>
      </w:r>
      <w:r>
        <w:rPr>
          <w:rFonts w:cs="Arial"/>
          <w:b/>
        </w:rPr>
        <w:t>above)</w:t>
      </w:r>
    </w:p>
    <w:p w14:paraId="3A65AB2C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  <w:r w:rsidRPr="0076299C">
        <w:rPr>
          <w:rFonts w:cs="Arial"/>
          <w:b/>
        </w:rPr>
        <w:t>This set of competencies is to be used at the end of the first and second year. It can also be used with single sessions as a collaborative exercise between supervisors and students.</w:t>
      </w:r>
    </w:p>
    <w:p w14:paraId="69648369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  <w:r w:rsidRPr="0076299C">
        <w:rPr>
          <w:rFonts w:cs="Arial"/>
        </w:rPr>
        <w:t xml:space="preserve">Mark with an 'X' on the horizontal line, using whole and half numbers, the level to which you think the therapist has fulfilled the core function. </w:t>
      </w:r>
    </w:p>
    <w:p w14:paraId="50123779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  <w:r w:rsidRPr="0076299C">
        <w:rPr>
          <w:rFonts w:cs="Arial"/>
        </w:rPr>
        <w:t xml:space="preserve">N.B. If using for a particular session, take into consideration the appropriateness of therapeutic interventions for stage of therapy, perceived family difficulty and fit with the </w:t>
      </w:r>
      <w:proofErr w:type="gramStart"/>
      <w:r w:rsidRPr="0076299C">
        <w:rPr>
          <w:rFonts w:cs="Arial"/>
        </w:rPr>
        <w:t>particular family</w:t>
      </w:r>
      <w:proofErr w:type="gramEnd"/>
      <w:r w:rsidRPr="0076299C">
        <w:rPr>
          <w:rFonts w:cs="Arial"/>
        </w:rPr>
        <w:t xml:space="preserve"> being seen.</w:t>
      </w:r>
    </w:p>
    <w:p w14:paraId="65E6FF1C" w14:textId="77777777" w:rsidR="00BC7A17" w:rsidRDefault="00BC7A17" w:rsidP="00BC7A17">
      <w:pPr>
        <w:adjustRightInd w:val="0"/>
        <w:spacing w:after="240"/>
        <w:rPr>
          <w:rFonts w:cs="Arial"/>
        </w:rPr>
      </w:pPr>
      <w:r>
        <w:rPr>
          <w:rFonts w:cs="Arial"/>
        </w:rPr>
        <w:t xml:space="preserve">After each competency, the supervisor must make briefly comments and student must paste evidence from the Portfolio. </w:t>
      </w:r>
    </w:p>
    <w:p w14:paraId="69D5D36C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4B1CD8E9" w14:textId="77777777" w:rsidR="00BC7A17" w:rsidRDefault="00BC7A17" w:rsidP="00BC7A17">
      <w:pPr>
        <w:rPr>
          <w:rFonts w:cs="Arial"/>
        </w:rPr>
      </w:pPr>
      <w:r w:rsidRPr="0076299C">
        <w:rPr>
          <w:rFonts w:cs="Arial"/>
        </w:rPr>
        <w:t>Student ________________Family/ Year _____________________</w:t>
      </w:r>
    </w:p>
    <w:p w14:paraId="2CBA3418" w14:textId="77777777" w:rsidR="00BC7A17" w:rsidRPr="0076299C" w:rsidRDefault="00BC7A17" w:rsidP="00BC7A17">
      <w:pPr>
        <w:rPr>
          <w:rFonts w:cs="Arial"/>
        </w:rPr>
      </w:pPr>
    </w:p>
    <w:p w14:paraId="7E6D4133" w14:textId="77777777" w:rsidR="00BC7A17" w:rsidRDefault="00BC7A17" w:rsidP="00BC7A17">
      <w:pPr>
        <w:rPr>
          <w:rFonts w:cs="Arial"/>
        </w:rPr>
      </w:pPr>
      <w:r w:rsidRPr="0076299C">
        <w:rPr>
          <w:rFonts w:cs="Arial"/>
        </w:rPr>
        <w:t xml:space="preserve">Date of Report: ____________  </w:t>
      </w:r>
    </w:p>
    <w:p w14:paraId="406B427B" w14:textId="77777777" w:rsidR="00BC7A17" w:rsidRPr="0076299C" w:rsidRDefault="00BC7A17" w:rsidP="00BC7A17">
      <w:pPr>
        <w:rPr>
          <w:rFonts w:cs="Arial"/>
        </w:rPr>
      </w:pPr>
    </w:p>
    <w:p w14:paraId="6DE23362" w14:textId="77777777" w:rsidR="00BC7A17" w:rsidRPr="0076299C" w:rsidRDefault="00BC7A17" w:rsidP="00BC7A17">
      <w:pPr>
        <w:rPr>
          <w:rFonts w:cs="Arial"/>
        </w:rPr>
      </w:pPr>
      <w:r w:rsidRPr="0076299C">
        <w:rPr>
          <w:rFonts w:cs="Arial"/>
        </w:rPr>
        <w:t>This competency scale should be used as the central material for the Supervisor’s Report. After each dimension some evidence of the student</w:t>
      </w:r>
      <w:r w:rsidR="00BB643A">
        <w:rPr>
          <w:rFonts w:cs="Arial"/>
        </w:rPr>
        <w:t>’</w:t>
      </w:r>
      <w:r w:rsidRPr="0076299C">
        <w:rPr>
          <w:rFonts w:cs="Arial"/>
        </w:rPr>
        <w:t>s competency should be given (provided by the student) and cross referenced to the student’s Portfolio.</w:t>
      </w:r>
    </w:p>
    <w:p w14:paraId="19DA3A7A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6402282B" w14:textId="77777777" w:rsidR="00BC7A17" w:rsidRPr="0076299C" w:rsidRDefault="00BC7A17" w:rsidP="00BC7A17">
      <w:pPr>
        <w:rPr>
          <w:rFonts w:cs="Arial"/>
        </w:rPr>
      </w:pPr>
    </w:p>
    <w:p w14:paraId="41CBEF42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</w:rPr>
        <w:t>1</w:t>
      </w:r>
      <w:r w:rsidRPr="0076299C">
        <w:rPr>
          <w:rFonts w:cs="Arial"/>
          <w:b/>
        </w:rPr>
        <w:t>. Ability to create a working alliance with all family members.</w:t>
      </w:r>
    </w:p>
    <w:p w14:paraId="47A6978F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5D1127F5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0                   1                 2                 3                 4                  5                        6</w:t>
      </w:r>
    </w:p>
    <w:p w14:paraId="7636C821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2EA889EF" w14:textId="77777777" w:rsidR="00BC7A17" w:rsidRPr="0076299C" w:rsidRDefault="00BC7A17" w:rsidP="00BC7A17">
      <w:pPr>
        <w:adjustRightInd w:val="0"/>
        <w:spacing w:after="240"/>
        <w:rPr>
          <w:rFonts w:cs="Arial"/>
          <w:b/>
          <w:bCs/>
        </w:rPr>
      </w:pPr>
      <w:r w:rsidRPr="0076299C">
        <w:rPr>
          <w:rFonts w:cs="Arial"/>
          <w:b/>
          <w:bCs/>
        </w:rPr>
        <w:t xml:space="preserve"> 2:  Convening and managing the session</w:t>
      </w:r>
    </w:p>
    <w:p w14:paraId="12C057B0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77F0C7D0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0                   1                 2                 3                 4                  5                       6</w:t>
      </w:r>
    </w:p>
    <w:p w14:paraId="6B2E5E56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</w:p>
    <w:p w14:paraId="6CE5F91C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>3.   Undertake a systemic assessment</w:t>
      </w:r>
    </w:p>
    <w:p w14:paraId="4D92885A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</w:p>
    <w:p w14:paraId="0985D52B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0                   1                 2                 3                 4                  5                       6</w:t>
      </w:r>
    </w:p>
    <w:p w14:paraId="6E4F7862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>4. Collaboration</w:t>
      </w:r>
    </w:p>
    <w:p w14:paraId="79CA366B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5D969996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0                   1                 2                 3                 4                  5                      6</w:t>
      </w:r>
    </w:p>
    <w:p w14:paraId="758EECED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07242D59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>5. Maintaining a relational approach</w:t>
      </w:r>
    </w:p>
    <w:p w14:paraId="11EC5C84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0                   1                 2                 3                 4                  5                       6</w:t>
      </w:r>
    </w:p>
    <w:p w14:paraId="33A5FBBC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01B73597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>6. Use of a variety of systemic techniques</w:t>
      </w:r>
    </w:p>
    <w:p w14:paraId="6C8F909C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0                   1                 2                 3                 4                  5                       6</w:t>
      </w:r>
    </w:p>
    <w:p w14:paraId="5AAB97B3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03E79582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>7. Intervening in process during sessions</w:t>
      </w:r>
    </w:p>
    <w:p w14:paraId="665F49C8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709E6847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0                   1                 2                 3                 4                  5                       6</w:t>
      </w:r>
    </w:p>
    <w:p w14:paraId="081357D8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</w:p>
    <w:p w14:paraId="691DAA3F" w14:textId="77777777" w:rsidR="00BC7A17" w:rsidRPr="0076299C" w:rsidRDefault="00BC7A17" w:rsidP="00BC7A17">
      <w:pPr>
        <w:rPr>
          <w:rFonts w:cs="Arial"/>
          <w:b/>
        </w:rPr>
      </w:pPr>
      <w:r w:rsidRPr="0076299C">
        <w:rPr>
          <w:rFonts w:cs="Arial"/>
          <w:b/>
        </w:rPr>
        <w:t>8. Working with power and difference</w:t>
      </w:r>
    </w:p>
    <w:p w14:paraId="3219163E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07771CD2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0                   1                 2                 3                 4                  5                       6</w:t>
      </w:r>
    </w:p>
    <w:p w14:paraId="7F996506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</w:p>
    <w:p w14:paraId="3AC594FC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 xml:space="preserve">9. </w:t>
      </w:r>
      <w:proofErr w:type="gramStart"/>
      <w:r w:rsidRPr="0076299C">
        <w:rPr>
          <w:rFonts w:cs="Arial"/>
          <w:b/>
        </w:rPr>
        <w:t>Taking into account</w:t>
      </w:r>
      <w:proofErr w:type="gramEnd"/>
      <w:r w:rsidRPr="0076299C">
        <w:rPr>
          <w:rFonts w:cs="Arial"/>
          <w:b/>
        </w:rPr>
        <w:t xml:space="preserve"> the wider system</w:t>
      </w:r>
    </w:p>
    <w:p w14:paraId="48F1607D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6F0F6630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0                   1                 2                 3                 4                  5                       6</w:t>
      </w:r>
    </w:p>
    <w:p w14:paraId="3CD023EB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17FEB82E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 xml:space="preserve">10. Using </w:t>
      </w:r>
      <w:proofErr w:type="gramStart"/>
      <w:r w:rsidRPr="0076299C">
        <w:rPr>
          <w:rFonts w:cs="Arial"/>
          <w:b/>
        </w:rPr>
        <w:t>evidence based</w:t>
      </w:r>
      <w:proofErr w:type="gramEnd"/>
      <w:r w:rsidRPr="0076299C">
        <w:rPr>
          <w:rFonts w:cs="Arial"/>
          <w:b/>
        </w:rPr>
        <w:t xml:space="preserve"> practice and </w:t>
      </w:r>
      <w:proofErr w:type="gramStart"/>
      <w:r w:rsidRPr="0076299C">
        <w:rPr>
          <w:rFonts w:cs="Arial"/>
          <w:b/>
        </w:rPr>
        <w:t>practice based</w:t>
      </w:r>
      <w:proofErr w:type="gramEnd"/>
      <w:r w:rsidRPr="0076299C">
        <w:rPr>
          <w:rFonts w:cs="Arial"/>
          <w:b/>
        </w:rPr>
        <w:t xml:space="preserve"> evidence</w:t>
      </w:r>
    </w:p>
    <w:p w14:paraId="21EC6CF8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061D18AD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lastRenderedPageBreak/>
        <w:t>0                   1                 2                 3                 4                  5                       6</w:t>
      </w:r>
    </w:p>
    <w:p w14:paraId="25484944" w14:textId="77777777" w:rsidR="00BC7A17" w:rsidRDefault="00BC7A17" w:rsidP="00BC7A17">
      <w:pPr>
        <w:adjustRightInd w:val="0"/>
        <w:spacing w:after="240"/>
        <w:rPr>
          <w:rFonts w:cs="Arial"/>
        </w:rPr>
      </w:pPr>
    </w:p>
    <w:p w14:paraId="612F73D1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747B0904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>11. Self-reflexivity</w:t>
      </w:r>
    </w:p>
    <w:p w14:paraId="2F15D477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7384B65D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0                   1                 2                 3                 4                  5                       6</w:t>
      </w:r>
    </w:p>
    <w:p w14:paraId="45550585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69C1A358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>12. Managing clinical risk</w:t>
      </w:r>
    </w:p>
    <w:p w14:paraId="44A4539D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0                   1                 2                 3                 4                  5                       6</w:t>
      </w:r>
    </w:p>
    <w:p w14:paraId="6F289668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031F14F6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 xml:space="preserve">13. Professional practice </w:t>
      </w:r>
    </w:p>
    <w:p w14:paraId="5A73DA89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0                   1                 2                 3                 4                  5                       6</w:t>
      </w:r>
    </w:p>
    <w:p w14:paraId="2993AA51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</w:p>
    <w:p w14:paraId="20F9A92A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>14. Use of supervision</w:t>
      </w:r>
    </w:p>
    <w:p w14:paraId="24DB6B87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0                   1                 2                 3                 4                  5                       6</w:t>
      </w:r>
    </w:p>
    <w:p w14:paraId="10B8E786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</w:p>
    <w:p w14:paraId="2096AC1D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 xml:space="preserve">15. Creativity and flexibility </w:t>
      </w:r>
    </w:p>
    <w:p w14:paraId="4F55A35C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0                   1                 2                 3                 4                  5                       6</w:t>
      </w:r>
    </w:p>
    <w:p w14:paraId="2368DD8F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</w:p>
    <w:p w14:paraId="09088853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 xml:space="preserve">16. Managing the process of therapy </w:t>
      </w:r>
    </w:p>
    <w:p w14:paraId="276295AC" w14:textId="77777777" w:rsidR="00BC7A17" w:rsidRPr="0076299C" w:rsidRDefault="00BC7A17" w:rsidP="00BC7A17">
      <w:pPr>
        <w:pBdr>
          <w:bottom w:val="single" w:sz="6" w:space="1" w:color="auto"/>
        </w:pBdr>
        <w:adjustRightInd w:val="0"/>
        <w:spacing w:after="240"/>
        <w:rPr>
          <w:rFonts w:cs="Arial"/>
        </w:rPr>
      </w:pPr>
      <w:r w:rsidRPr="0076299C">
        <w:rPr>
          <w:rFonts w:cs="Arial"/>
        </w:rPr>
        <w:t>0                   1                 2                 3                 4                  5                       6</w:t>
      </w:r>
    </w:p>
    <w:p w14:paraId="0C149FD5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0E4478A3" w14:textId="77777777" w:rsidR="00BC7A17" w:rsidRPr="0076299C" w:rsidRDefault="00BC7A17" w:rsidP="00BC7A17">
      <w:pPr>
        <w:adjustRightInd w:val="0"/>
        <w:spacing w:after="240"/>
        <w:rPr>
          <w:rFonts w:cs="Arial"/>
        </w:rPr>
      </w:pPr>
    </w:p>
    <w:p w14:paraId="73D4B8EA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>
        <w:rPr>
          <w:rFonts w:cs="Arial"/>
          <w:b/>
        </w:rPr>
        <w:t xml:space="preserve">Other comments (Supervisor): </w:t>
      </w:r>
    </w:p>
    <w:p w14:paraId="42C6CF96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</w:p>
    <w:p w14:paraId="60167A97" w14:textId="77777777" w:rsidR="00BC7A17" w:rsidRDefault="00BC7A17" w:rsidP="00BC7A17">
      <w:pPr>
        <w:adjustRightInd w:val="0"/>
        <w:spacing w:after="240"/>
        <w:rPr>
          <w:rFonts w:cs="Arial"/>
          <w:b/>
        </w:rPr>
      </w:pPr>
    </w:p>
    <w:p w14:paraId="5969EF89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</w:p>
    <w:p w14:paraId="50173E33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>Areas for development</w:t>
      </w:r>
      <w:r>
        <w:rPr>
          <w:rFonts w:cs="Arial"/>
          <w:b/>
        </w:rPr>
        <w:t xml:space="preserve"> (Year One/Year Two)</w:t>
      </w:r>
      <w:r w:rsidRPr="0076299C">
        <w:rPr>
          <w:rFonts w:cs="Arial"/>
          <w:b/>
        </w:rPr>
        <w:t>:</w:t>
      </w:r>
    </w:p>
    <w:p w14:paraId="26BA05CB" w14:textId="77777777" w:rsidR="00BC7A17" w:rsidRDefault="00BC7A17" w:rsidP="00BC7A17">
      <w:pPr>
        <w:adjustRightInd w:val="0"/>
        <w:spacing w:after="240"/>
        <w:rPr>
          <w:rFonts w:cs="Arial"/>
          <w:b/>
        </w:rPr>
      </w:pPr>
    </w:p>
    <w:p w14:paraId="497CF95D" w14:textId="77777777" w:rsidR="00BC7A17" w:rsidRDefault="00BC7A17" w:rsidP="00BC7A17">
      <w:pPr>
        <w:adjustRightInd w:val="0"/>
        <w:spacing w:after="240"/>
        <w:rPr>
          <w:rFonts w:cs="Arial"/>
          <w:b/>
        </w:rPr>
      </w:pPr>
    </w:p>
    <w:p w14:paraId="5A773C9A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>Overall recommendations:</w:t>
      </w:r>
    </w:p>
    <w:p w14:paraId="2B5CB54A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</w:p>
    <w:p w14:paraId="1EA3AD74" w14:textId="77777777" w:rsidR="00BC7A17" w:rsidRDefault="00BC7A17" w:rsidP="00BC7A17">
      <w:pPr>
        <w:adjustRightInd w:val="0"/>
        <w:spacing w:after="240"/>
        <w:rPr>
          <w:rFonts w:cs="Arial"/>
          <w:b/>
        </w:rPr>
      </w:pPr>
    </w:p>
    <w:p w14:paraId="0841FF41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>Fail</w:t>
      </w:r>
      <w:r w:rsidRPr="0076299C">
        <w:rPr>
          <w:rFonts w:cs="Arial"/>
          <w:b/>
        </w:rPr>
        <w:tab/>
      </w:r>
      <w:r w:rsidRPr="0076299C">
        <w:rPr>
          <w:rFonts w:cs="Arial"/>
          <w:b/>
        </w:rPr>
        <w:tab/>
      </w:r>
      <w:r w:rsidRPr="0076299C">
        <w:rPr>
          <w:rFonts w:cs="Arial"/>
          <w:b/>
        </w:rPr>
        <w:tab/>
        <w:t>Pass</w:t>
      </w:r>
      <w:r w:rsidRPr="0076299C">
        <w:rPr>
          <w:rFonts w:cs="Arial"/>
          <w:b/>
        </w:rPr>
        <w:tab/>
      </w:r>
      <w:r w:rsidRPr="0076299C">
        <w:rPr>
          <w:rFonts w:cs="Arial"/>
          <w:b/>
        </w:rPr>
        <w:tab/>
      </w:r>
      <w:r w:rsidRPr="0076299C">
        <w:rPr>
          <w:rFonts w:cs="Arial"/>
          <w:b/>
        </w:rPr>
        <w:tab/>
        <w:t>Merit</w:t>
      </w:r>
      <w:r w:rsidRPr="0076299C">
        <w:rPr>
          <w:rFonts w:cs="Arial"/>
          <w:b/>
        </w:rPr>
        <w:tab/>
      </w:r>
      <w:r w:rsidRPr="0076299C">
        <w:rPr>
          <w:rFonts w:cs="Arial"/>
          <w:b/>
        </w:rPr>
        <w:tab/>
      </w:r>
      <w:r w:rsidRPr="0076299C">
        <w:rPr>
          <w:rFonts w:cs="Arial"/>
          <w:b/>
        </w:rPr>
        <w:tab/>
        <w:t>Distinction</w:t>
      </w:r>
    </w:p>
    <w:p w14:paraId="66EA185C" w14:textId="77777777" w:rsidR="00BC7A17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>Please give a percentage as an estimate broadly in line with the above marks.</w:t>
      </w:r>
      <w:r w:rsidR="00BB643A">
        <w:rPr>
          <w:rFonts w:cs="Arial"/>
          <w:b/>
        </w:rPr>
        <w:t xml:space="preserve"> </w:t>
      </w:r>
      <w:proofErr w:type="gramStart"/>
      <w:r w:rsidR="00BB643A">
        <w:rPr>
          <w:rFonts w:cs="Arial"/>
          <w:b/>
        </w:rPr>
        <w:t>Take into account</w:t>
      </w:r>
      <w:proofErr w:type="gramEnd"/>
      <w:r w:rsidR="00BB643A">
        <w:rPr>
          <w:rFonts w:cs="Arial"/>
          <w:b/>
        </w:rPr>
        <w:t xml:space="preserve"> the University Notched Marking Guidance. </w:t>
      </w:r>
    </w:p>
    <w:p w14:paraId="3DB560A8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>
        <w:rPr>
          <w:rFonts w:cs="Arial"/>
          <w:b/>
        </w:rPr>
        <w:t>Mark:       %</w:t>
      </w:r>
    </w:p>
    <w:p w14:paraId="7249E1B3" w14:textId="77777777" w:rsidR="00BC7A17" w:rsidRPr="0076299C" w:rsidRDefault="00BC7A17" w:rsidP="00BC7A17">
      <w:pPr>
        <w:adjustRightInd w:val="0"/>
        <w:spacing w:after="240"/>
        <w:rPr>
          <w:rFonts w:cs="Arial"/>
          <w:b/>
        </w:rPr>
      </w:pPr>
      <w:r w:rsidRPr="0076299C">
        <w:rPr>
          <w:rFonts w:cs="Arial"/>
          <w:b/>
        </w:rPr>
        <w:t>Signed Supervisor:</w:t>
      </w:r>
      <w:r w:rsidRPr="0076299C">
        <w:rPr>
          <w:rFonts w:cs="Arial"/>
          <w:b/>
        </w:rPr>
        <w:tab/>
      </w:r>
      <w:r w:rsidRPr="0076299C">
        <w:rPr>
          <w:rFonts w:cs="Arial"/>
          <w:b/>
        </w:rPr>
        <w:tab/>
      </w:r>
      <w:r w:rsidRPr="0076299C">
        <w:rPr>
          <w:rFonts w:cs="Arial"/>
          <w:b/>
        </w:rPr>
        <w:tab/>
      </w:r>
      <w:r w:rsidRPr="0076299C">
        <w:rPr>
          <w:rFonts w:cs="Arial"/>
          <w:b/>
        </w:rPr>
        <w:tab/>
        <w:t>Student:</w:t>
      </w:r>
    </w:p>
    <w:p w14:paraId="1764739C" w14:textId="77777777" w:rsidR="00BC7A17" w:rsidRPr="0076299C" w:rsidRDefault="00BC7A17" w:rsidP="00BC7A17">
      <w:pPr>
        <w:adjustRightInd w:val="0"/>
        <w:rPr>
          <w:rFonts w:cs="Arial"/>
          <w:b/>
        </w:rPr>
      </w:pPr>
    </w:p>
    <w:p w14:paraId="03B3EA96" w14:textId="77777777" w:rsidR="00BC7A17" w:rsidRPr="00121249" w:rsidRDefault="00BC7A17" w:rsidP="00BC7A17">
      <w:pPr>
        <w:rPr>
          <w:rFonts w:cs="Arial"/>
          <w:b/>
        </w:rPr>
      </w:pPr>
      <w:r w:rsidRPr="00121249">
        <w:rPr>
          <w:rFonts w:cs="Arial"/>
          <w:b/>
        </w:rPr>
        <w:t>Date:</w:t>
      </w:r>
    </w:p>
    <w:p w14:paraId="283B37D6" w14:textId="4DA2DFD1" w:rsidR="00FD70B3" w:rsidRDefault="00FD70B3" w:rsidP="00BC7A17"/>
    <w:sectPr w:rsidR="00FD7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17"/>
    <w:rsid w:val="00176CA8"/>
    <w:rsid w:val="00195BB4"/>
    <w:rsid w:val="001C4E3B"/>
    <w:rsid w:val="002F50C1"/>
    <w:rsid w:val="003C23AD"/>
    <w:rsid w:val="00930D62"/>
    <w:rsid w:val="00AF3D0D"/>
    <w:rsid w:val="00BB643A"/>
    <w:rsid w:val="00BC7A17"/>
    <w:rsid w:val="00EF46A7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BD1C"/>
  <w15:chartTrackingRefBased/>
  <w15:docId w15:val="{6C961D4B-D61F-4C23-9DCE-C5259224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A17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64770E5C4574C917C5D153601B1F0" ma:contentTypeVersion="15" ma:contentTypeDescription="Create a new document." ma:contentTypeScope="" ma:versionID="4296c198a0defd2f85fcd089589b3ca7">
  <xsd:schema xmlns:xsd="http://www.w3.org/2001/XMLSchema" xmlns:xs="http://www.w3.org/2001/XMLSchema" xmlns:p="http://schemas.microsoft.com/office/2006/metadata/properties" xmlns:ns2="0c3f6362-f88e-45a3-af21-5f36a2810288" xmlns:ns3="1e168950-4f53-4734-a74b-95341c146a01" targetNamespace="http://schemas.microsoft.com/office/2006/metadata/properties" ma:root="true" ma:fieldsID="23bb9f3dbf64d6cb53d36a6cf945c388" ns2:_="" ns3:_="">
    <xsd:import namespace="0c3f6362-f88e-45a3-af21-5f36a2810288"/>
    <xsd:import namespace="1e168950-4f53-4734-a74b-95341c146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f6362-f88e-45a3-af21-5f36a2810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68950-4f53-4734-a74b-95341c146a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3c5334-5546-4a58-8018-faefda978189}" ma:internalName="TaxCatchAll" ma:showField="CatchAllData" ma:web="1e168950-4f53-4734-a74b-95341c146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68950-4f53-4734-a74b-95341c146a01" xsi:nil="true"/>
    <lcf76f155ced4ddcb4097134ff3c332f xmlns="0c3f6362-f88e-45a3-af21-5f36a2810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7AC3E0-6C31-4744-90FF-B20CB9688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78FAB-D17A-4A06-A9A4-FE9A3DF26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f6362-f88e-45a3-af21-5f36a2810288"/>
    <ds:schemaRef ds:uri="1e168950-4f53-4734-a74b-95341c146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2D7C1-0D69-41FA-9417-CB018390F7C4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e168950-4f53-4734-a74b-95341c146a01"/>
    <ds:schemaRef ds:uri="0c3f6362-f88e-45a3-af21-5f36a2810288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1770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Gkatzioli, Christina</dc:creator>
  <cp:keywords/>
  <dc:description/>
  <cp:lastModifiedBy>Kaal, Abbie</cp:lastModifiedBy>
  <cp:revision>3</cp:revision>
  <dcterms:created xsi:type="dcterms:W3CDTF">2026-03-13T15:50:00Z</dcterms:created>
  <dcterms:modified xsi:type="dcterms:W3CDTF">2026-03-13T15:50:00Z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0x0101003D964770E5C4574C917C5D153601B1F0</vt:lpwstr>
  </property>
  <property fmtid="{D5CDD505-2E9C-101B-9397-08002B2CF9AE}" pid="3" name="MediaServiceImageTags">
    <vt:lpwstr/>
  </property>
</Properties>
</file>