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6C2" w14:textId="77777777" w:rsidR="00B264AE" w:rsidRPr="00C501D4" w:rsidRDefault="00B264AE" w:rsidP="00B264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>Marking Criteria</w:t>
      </w:r>
    </w:p>
    <w:p w14:paraId="721C69B7" w14:textId="240C2B2A" w:rsidR="00B264AE" w:rsidRPr="00C501D4" w:rsidRDefault="00B264AE" w:rsidP="00B264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ASD/ LD Module 3 Competency Recording C</w:t>
      </w:r>
    </w:p>
    <w:p w14:paraId="47107822" w14:textId="52B3B155" w:rsidR="00B264AE" w:rsidRPr="00C501D4" w:rsidRDefault="00155B82" w:rsidP="00B264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Cognitive and/or behavioural </w:t>
      </w:r>
      <w:r w:rsidR="00B264AE" w:rsidRPr="00C501D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i</w:t>
      </w:r>
      <w:r w:rsidR="00B264AE">
        <w:rPr>
          <w:rFonts w:ascii="Times New Roman" w:hAnsi="Times New Roman" w:cs="Times New Roman"/>
          <w:color w:val="000000" w:themeColor="text1"/>
          <w:sz w:val="36"/>
          <w:szCs w:val="36"/>
        </w:rPr>
        <w:t>ntervention</w:t>
      </w:r>
    </w:p>
    <w:p w14:paraId="5DDD847F" w14:textId="77777777" w:rsidR="00B264AE" w:rsidRPr="004F5A39" w:rsidRDefault="00B264AE" w:rsidP="00B264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B4EB"/>
          <w:sz w:val="36"/>
          <w:szCs w:val="36"/>
        </w:rPr>
      </w:pPr>
      <w:r w:rsidRPr="00B53CB5">
        <w:rPr>
          <w:rFonts w:ascii="Times New Roman" w:hAnsi="Times New Roman" w:cs="Times New Roman"/>
          <w:color w:val="00B4EB"/>
        </w:rPr>
        <w:t>Criteria based on CBTS‐CYP Stallard (2021)</w:t>
      </w:r>
    </w:p>
    <w:p w14:paraId="5A39CB94" w14:textId="77777777" w:rsidR="00127DB0" w:rsidRDefault="00127DB0" w:rsidP="00127DB0">
      <w:pPr>
        <w:autoSpaceDE w:val="0"/>
        <w:autoSpaceDN w:val="0"/>
        <w:adjustRightInd w:val="0"/>
        <w:rPr>
          <w:rFonts w:ascii="Times New Roman" w:hAnsi="Times New Roman" w:cs="Times New Roman"/>
          <w:color w:val="00B4EB"/>
          <w:sz w:val="48"/>
          <w:szCs w:val="48"/>
        </w:rPr>
      </w:pPr>
    </w:p>
    <w:p w14:paraId="10BD6D3B" w14:textId="18C3C0CE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8"/>
          <w:szCs w:val="28"/>
        </w:rPr>
      </w:pPr>
      <w:r w:rsidRPr="00103A0C">
        <w:rPr>
          <w:rFonts w:ascii="Verdana" w:hAnsi="Verdana" w:cs="Times New Roman"/>
          <w:color w:val="00B4EB"/>
          <w:sz w:val="28"/>
          <w:szCs w:val="28"/>
        </w:rPr>
        <w:t xml:space="preserve">PROCESS </w:t>
      </w:r>
      <w:r w:rsidRPr="00103A0C">
        <w:rPr>
          <w:rFonts w:ascii="Cambria Math" w:hAnsi="Cambria Math" w:cs="Cambria Math"/>
          <w:color w:val="00B4EB"/>
          <w:sz w:val="28"/>
          <w:szCs w:val="28"/>
        </w:rPr>
        <w:t>‐</w:t>
      </w:r>
      <w:r w:rsidRPr="00103A0C">
        <w:rPr>
          <w:rFonts w:ascii="Verdana" w:hAnsi="Verdana" w:cs="Times New Roman"/>
          <w:color w:val="00B4EB"/>
          <w:sz w:val="28"/>
          <w:szCs w:val="28"/>
        </w:rPr>
        <w:t xml:space="preserve"> PRECISE</w:t>
      </w:r>
    </w:p>
    <w:p w14:paraId="28C85383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8"/>
          <w:szCs w:val="28"/>
        </w:rPr>
      </w:pPr>
    </w:p>
    <w:p w14:paraId="4BF0061D" w14:textId="4E14299A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</w:rPr>
      </w:pPr>
      <w:r w:rsidRPr="00103A0C">
        <w:rPr>
          <w:rFonts w:ascii="Verdana" w:hAnsi="Verdana" w:cs="Times New Roman"/>
          <w:b/>
          <w:bCs/>
          <w:color w:val="4472C4" w:themeColor="accent1"/>
        </w:rPr>
        <w:t>1 Partnership working – collaboration and learning together</w:t>
      </w:r>
    </w:p>
    <w:p w14:paraId="768CE97C" w14:textId="77777777" w:rsidR="00127DB0" w:rsidRPr="00127DB0" w:rsidRDefault="00127DB0" w:rsidP="00127D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472C4" w:themeColor="accent1"/>
        </w:rPr>
      </w:pPr>
    </w:p>
    <w:p w14:paraId="18D7F4F6" w14:textId="7064B5B4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Establishes a collaborative and respectful partnership with the child/young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person (and, as appropriate, their parents/carers) in which they are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actively engaged in working towards a set of joint goals and targets.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21F030EE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FDD4794" w14:textId="70C680CF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eliciting the child/young person’s and parents/carers’ understanding and</w:t>
      </w:r>
    </w:p>
    <w:p w14:paraId="11AE2E4F" w14:textId="6185834A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views</w:t>
      </w:r>
    </w:p>
    <w:p w14:paraId="5A0A877F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071EB23" w14:textId="2D5AF169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and inviting the child/young person to participate in</w:t>
      </w:r>
    </w:p>
    <w:p w14:paraId="7D565682" w14:textId="60FCF644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discussions, option appraisal, and decision making</w:t>
      </w:r>
    </w:p>
    <w:p w14:paraId="63807474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441AD4A" w14:textId="6451BF52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involving the child/young person and parent/carer in goal and target</w:t>
      </w:r>
    </w:p>
    <w:p w14:paraId="16A1D7A9" w14:textId="5200799B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setting, intervention planning, home assignments, and experiments</w:t>
      </w:r>
    </w:p>
    <w:p w14:paraId="7746059F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9DB37E6" w14:textId="5508FA35" w:rsidR="00127DB0" w:rsidRPr="00103A0C" w:rsidRDefault="00127DB0" w:rsidP="00127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the child/young person to provide open and honest feedback</w:t>
      </w:r>
    </w:p>
    <w:p w14:paraId="49FC53A9" w14:textId="6B6B6694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about sessions</w:t>
      </w:r>
    </w:p>
    <w:p w14:paraId="02080DBA" w14:textId="0A033CD7" w:rsidR="003D36F2" w:rsidRDefault="003D36F2" w:rsidP="00103A0C">
      <w:pPr>
        <w:pStyle w:val="ListParagraph"/>
        <w:autoSpaceDE w:val="0"/>
        <w:autoSpaceDN w:val="0"/>
        <w:adjustRightInd w:val="0"/>
        <w:ind w:left="0"/>
        <w:rPr>
          <w:rFonts w:ascii="Verdana" w:hAnsi="Verdana" w:cs="Times New Roman"/>
          <w:color w:val="000000"/>
          <w:sz w:val="22"/>
          <w:szCs w:val="22"/>
        </w:rPr>
      </w:pPr>
    </w:p>
    <w:p w14:paraId="3941B44A" w14:textId="3F799AF5" w:rsidR="003D36F2" w:rsidRPr="00103A0C" w:rsidRDefault="003D36F2" w:rsidP="00103A0C">
      <w:pPr>
        <w:pStyle w:val="ListParagraph"/>
        <w:autoSpaceDE w:val="0"/>
        <w:autoSpaceDN w:val="0"/>
        <w:adjustRightInd w:val="0"/>
        <w:ind w:left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373A8BD6" wp14:editId="6422FD52">
            <wp:extent cx="5727700" cy="331089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FB26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E60967D" w14:textId="124B209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72F3A1E" w14:textId="19D5803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EA5A138" w14:textId="23269AE4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B10E37D" w14:textId="71F3F0E6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366D9420" w14:textId="24D8711C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E77FEB7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0D743432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BF23ABB" w14:textId="0A7A35F2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2 Right developmental level – pitch, methods, family involvement</w:t>
      </w:r>
    </w:p>
    <w:p w14:paraId="1852C6A4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6C411B2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Engages with the child/young person and family at a level and in a manner</w:t>
      </w:r>
    </w:p>
    <w:p w14:paraId="2115A4A1" w14:textId="57C07138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that is consistent with their developmental level and understanding.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0CC4566D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65984BC" w14:textId="573AEA32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an optimal balance between cognitive and behavioural</w:t>
      </w:r>
    </w:p>
    <w:p w14:paraId="331AD55D" w14:textId="6078C517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techniques</w:t>
      </w:r>
    </w:p>
    <w:p w14:paraId="142DE83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1B05ED2" w14:textId="6CCD3A95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simple, clear, jargon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free language that is respectful and not</w:t>
      </w:r>
    </w:p>
    <w:p w14:paraId="1632894A" w14:textId="5EE1F10F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patronising</w:t>
      </w:r>
    </w:p>
    <w:p w14:paraId="1CE9AB6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BC99E0C" w14:textId="7713D2C8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using a variety of verbal (direct and indirect approaches)</w:t>
      </w:r>
    </w:p>
    <w:p w14:paraId="6082855C" w14:textId="56F6DF8A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techniques</w:t>
      </w:r>
    </w:p>
    <w:p w14:paraId="57EA98D5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57A1AAE" w14:textId="0A43037A" w:rsidR="00127DB0" w:rsidRPr="00103A0C" w:rsidRDefault="00127DB0" w:rsidP="00127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involving parents/carers/others in sessions.</w:t>
      </w:r>
    </w:p>
    <w:p w14:paraId="47E905C2" w14:textId="518EC448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3769FE6" w14:textId="18E10603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7D96B14" w14:textId="3C5EE6CA" w:rsidR="00127DB0" w:rsidRPr="00103A0C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3DC9114F" wp14:editId="093E76C4">
            <wp:extent cx="5727700" cy="3885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BB65" w14:textId="7C736727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249379B" w14:textId="7DE719A2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5CF6473" w14:textId="204D485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FDD5D7E" w14:textId="7A587879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F12A1A9" w14:textId="78D092D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49EB9D1" w14:textId="084B7440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1B76F53" w14:textId="0536A636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33F0527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8BEC081" w14:textId="5DF60C34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3 Empathy – genuine, warm, understanding</w:t>
      </w:r>
    </w:p>
    <w:p w14:paraId="467E7D63" w14:textId="77777777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</w:p>
    <w:p w14:paraId="04A69B57" w14:textId="63B56FF9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Empathises with the child/young person and their carers/family through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the development of a genuine, warm, and respectful relationship.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4295963F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4392B42" w14:textId="7FB1D336" w:rsidR="00127DB0" w:rsidRDefault="00127DB0" w:rsidP="00127D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3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conveying interest and concern through use of specific skills such as active</w:t>
      </w:r>
    </w:p>
    <w:p w14:paraId="6400C722" w14:textId="77777777" w:rsidR="004F5A39" w:rsidRPr="004F5A39" w:rsidRDefault="004F5A39" w:rsidP="004F5A39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03D46A2" w14:textId="55DAFD5A" w:rsidR="00127DB0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listening, reflection, and summaries</w:t>
      </w:r>
    </w:p>
    <w:p w14:paraId="4D363DBC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9CBB5E0" w14:textId="7E321236" w:rsidR="00127DB0" w:rsidRPr="00103A0C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acknowledging and appropriately responding to the child/young person’s</w:t>
      </w:r>
    </w:p>
    <w:p w14:paraId="170D4A7D" w14:textId="77777777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carers/parents’ verbal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expressions and emotional</w:t>
      </w:r>
    </w:p>
    <w:p w14:paraId="73EF577A" w14:textId="3FF1A711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responses such as distress, excitement, or anxiety</w:t>
      </w:r>
    </w:p>
    <w:p w14:paraId="34A2FC69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DC51D15" w14:textId="3DCF5486" w:rsidR="004F5A39" w:rsidRDefault="00127DB0" w:rsidP="004F5A3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demonstrating an open, respectful,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judgemental, caring approach</w:t>
      </w:r>
    </w:p>
    <w:p w14:paraId="55EA6674" w14:textId="77777777" w:rsidR="004F5A39" w:rsidRPr="004F5A39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C040CA2" w14:textId="25BEE589" w:rsidR="00127DB0" w:rsidRPr="00103A0C" w:rsidRDefault="00127DB0" w:rsidP="00127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empathising with carers/parents about their own difficulties</w:t>
      </w:r>
    </w:p>
    <w:p w14:paraId="0265799F" w14:textId="39D9EF8E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the impact of these on their ability to help their child</w:t>
      </w:r>
    </w:p>
    <w:p w14:paraId="11670FE8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50DD9D4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F9361EC" w14:textId="6E7DC20B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698A0E70" wp14:editId="3827DED7">
            <wp:extent cx="5727700" cy="3350895"/>
            <wp:effectExtent l="0" t="0" r="0" b="190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091F" w14:textId="77777777" w:rsidR="00127DB0" w:rsidRPr="00103A0C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9AE4525" w14:textId="78C7DDDE" w:rsidR="00127DB0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6979233" w14:textId="1FD06E7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A29BC92" w14:textId="4E33E68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81EEF48" w14:textId="15CE5FC5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93CCE67" w14:textId="1CC703FC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9F0A7BA" w14:textId="405F417E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1605E16" w14:textId="09062745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C1D3B29" w14:textId="18737D79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1A13BD0" w14:textId="41805E86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4B70ADA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CFB76B9" w14:textId="10FAD004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4 Creative – verbal and non</w:t>
      </w:r>
      <w:r w:rsidRPr="004F5A39">
        <w:rPr>
          <w:rFonts w:ascii="Cambria Math" w:hAnsi="Cambria Math" w:cs="Cambria Math"/>
          <w:b/>
          <w:bCs/>
          <w:color w:val="4472C4" w:themeColor="accent1"/>
          <w:sz w:val="22"/>
          <w:szCs w:val="22"/>
        </w:rPr>
        <w:t>‐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verbal techniques</w:t>
      </w:r>
    </w:p>
    <w:p w14:paraId="010AF68F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02904F6E" w14:textId="1ACAF87E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Adapts the ideas and concepts of CBT to facilitate the understanding of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and engagement in therapy of the child/young person and their parents/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carers.</w:t>
      </w:r>
    </w:p>
    <w:p w14:paraId="7543F05F" w14:textId="77ABC167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13277F23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A695C4F" w14:textId="001AAD1A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tailoring and adapting concepts and methods of CBT around the interests</w:t>
      </w:r>
    </w:p>
    <w:p w14:paraId="47070D8D" w14:textId="7A797E7A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of the child/young person</w:t>
      </w:r>
    </w:p>
    <w:p w14:paraId="21F5FFEA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49FC5AB" w14:textId="68280ABF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an appropriate range of verbal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verbal methods to facilitate</w:t>
      </w:r>
    </w:p>
    <w:p w14:paraId="306F1D18" w14:textId="1D163968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understanding and engagement</w:t>
      </w:r>
    </w:p>
    <w:p w14:paraId="78A51CD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1BBF1D1" w14:textId="059F01B6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creatively using a range of methods, e.g. talking, drawing, questionnaires,</w:t>
      </w:r>
    </w:p>
    <w:p w14:paraId="1238BF70" w14:textId="1C8DAC3D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metaphor, role play, puppets, etc., to convey ideas and concepts</w:t>
      </w:r>
    </w:p>
    <w:p w14:paraId="02155570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14DD5E" w14:textId="19AC77C7" w:rsidR="00127DB0" w:rsidRPr="00103A0C" w:rsidRDefault="00127DB0" w:rsidP="0012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utilising the preferred media of the child/young person, e.g. verbal, visual,</w:t>
      </w:r>
    </w:p>
    <w:p w14:paraId="097D230A" w14:textId="077B62C9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computer</w:t>
      </w:r>
    </w:p>
    <w:p w14:paraId="50BA2E12" w14:textId="118654F7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97634D6" w14:textId="058901C9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74162A66" wp14:editId="738DCC16">
            <wp:extent cx="5727700" cy="374713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187D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EBA7BD8" w14:textId="23897C3C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C6FD1A4" w14:textId="18CA78F4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A8EE7F5" w14:textId="47656823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858E128" w14:textId="24C2783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38B017E" w14:textId="16C51000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1037F95" w14:textId="1E4237B8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D605759" w14:textId="2403D271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1ACFC1D" w14:textId="2450ADD1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628F721" w14:textId="2C9D7C6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0BAB6AA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2B95740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F8FDA38" w14:textId="7B55142E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5 Investigation – reflection and insight</w:t>
      </w:r>
    </w:p>
    <w:p w14:paraId="09F41210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CB3640B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Adopts an open and curious stance that facilitates guided discovery and</w:t>
      </w:r>
    </w:p>
    <w:p w14:paraId="7E0C527C" w14:textId="12968833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reflection.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33F3BB49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9C563AC" w14:textId="05FE6E87" w:rsidR="00127DB0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creating a process of collaborative inquiry in which the child/young</w:t>
      </w:r>
    </w:p>
    <w:p w14:paraId="0CE2F18F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48D8471" w14:textId="77777777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person’s and/or parents/carers’ cognitions, beliefs, and assumptions are</w:t>
      </w:r>
    </w:p>
    <w:p w14:paraId="241EBD6B" w14:textId="02C72347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subject to objective evaluation</w:t>
      </w:r>
    </w:p>
    <w:p w14:paraId="2CA11D8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A556798" w14:textId="26692AC0" w:rsidR="00127DB0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involving the child/young person in the design of experiments</w:t>
      </w:r>
    </w:p>
    <w:p w14:paraId="2B99CC9C" w14:textId="77777777" w:rsidR="004F5A39" w:rsidRPr="00103A0C" w:rsidRDefault="004F5A39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9741520" w14:textId="5619D703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helping the child/young person and/or parents/carers to consider</w:t>
      </w:r>
    </w:p>
    <w:p w14:paraId="055B3D7A" w14:textId="52D8560C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alternative explanations about events</w:t>
      </w:r>
    </w:p>
    <w:p w14:paraId="5069E2C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852246D" w14:textId="3150B77E" w:rsidR="00127DB0" w:rsidRPr="00103A0C" w:rsidRDefault="00127DB0" w:rsidP="00127D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the child/young person and/or parent/carer to reflect on the</w:t>
      </w:r>
    </w:p>
    <w:p w14:paraId="224C186E" w14:textId="384583FF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outcomes of experiments</w:t>
      </w:r>
    </w:p>
    <w:p w14:paraId="5DE594B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BE05405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71F2EEE" w14:textId="4E1F0623" w:rsidR="00127DB0" w:rsidRP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45C64A9E" wp14:editId="74DFF09F">
            <wp:extent cx="5727700" cy="413258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772B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10CB4FF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261CD0D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771DC8B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5799ED7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8A5B246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62EDC90B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931A298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25840D2" w14:textId="574690E6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6 Self</w:t>
      </w:r>
      <w:r w:rsidRPr="004F5A39">
        <w:rPr>
          <w:rFonts w:ascii="Cambria Math" w:hAnsi="Cambria Math" w:cs="Cambria Math"/>
          <w:b/>
          <w:bCs/>
          <w:color w:val="4472C4" w:themeColor="accent1"/>
          <w:sz w:val="22"/>
          <w:szCs w:val="22"/>
        </w:rPr>
        <w:t>‐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efficacy – build on strengths and ideas</w:t>
      </w:r>
    </w:p>
    <w:p w14:paraId="139F7645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57D8C8BE" w14:textId="10376F4C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Adopts an empowering and enabling approach in which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efficacy and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positive attempts at change are promoted.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39B5746D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29A13AA" w14:textId="1B319D64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identifying and highlighting the child/young person’s and/or parents/</w:t>
      </w:r>
    </w:p>
    <w:p w14:paraId="5BF13726" w14:textId="01404DD2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carers’ strengths and personal resources</w:t>
      </w:r>
    </w:p>
    <w:p w14:paraId="4FDD9734" w14:textId="26DB7EF2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helping the child/young person and/or parents/carers to identify skills</w:t>
      </w:r>
    </w:p>
    <w:p w14:paraId="02FE7D09" w14:textId="70DEBA03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and strategies that have shown some past success</w:t>
      </w:r>
    </w:p>
    <w:p w14:paraId="2B92E915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80F7F42" w14:textId="46528AFF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and shaping the child/young person’s and/or parents/carers’</w:t>
      </w:r>
    </w:p>
    <w:p w14:paraId="059201A4" w14:textId="5296A7BB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ideas and coping strategies</w:t>
      </w:r>
    </w:p>
    <w:p w14:paraId="78AD988E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9330260" w14:textId="5FE0CC5D" w:rsidR="00127DB0" w:rsidRPr="00103A0C" w:rsidRDefault="00127DB0" w:rsidP="00127D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praising and reinforcing the child/young person’s and/or parents/carers’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use of new skills</w:t>
      </w:r>
    </w:p>
    <w:p w14:paraId="585F03A3" w14:textId="501B5D4E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4D7520D" w14:textId="54BFDFD8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5FFB5070" wp14:editId="60FF824C">
            <wp:extent cx="5727700" cy="3705860"/>
            <wp:effectExtent l="0" t="0" r="0" b="254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316DD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514582F" w14:textId="4E0D0684" w:rsidR="00127DB0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4BFE405" w14:textId="309B8D80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5A9040BD" w14:textId="6B10794F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20AC60E" w14:textId="225CF8C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3BFCCB8" w14:textId="501D890F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81FD29A" w14:textId="17DF22BB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6443008" w14:textId="60F3836A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905518C" w14:textId="5C16521B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5F58C586" w14:textId="6B9E9F36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F4ECC49" w14:textId="4CFFD520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0DA006D8" w14:textId="4F33344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A688CC2" w14:textId="17ECE4F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617ABC4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60C9BB61" w14:textId="132115DC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7 Enjoyable – fun and engaging</w:t>
      </w:r>
    </w:p>
    <w:p w14:paraId="3E8BE73E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7752B8FF" w14:textId="2DF391A0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Makes therapy sessions appropriately interesting and engaging.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609DBF0F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B8FF6F0" w14:textId="002663D6" w:rsidR="00127DB0" w:rsidRDefault="00127DB0" w:rsidP="00103A0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an appropriate mix of materials, activities, humour</w:t>
      </w:r>
    </w:p>
    <w:p w14:paraId="5BD0AB22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D012909" w14:textId="682743E7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maintaining an appropriate balance between task and non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task</w:t>
      </w:r>
    </w:p>
    <w:p w14:paraId="08A521B6" w14:textId="3A524F01" w:rsidR="004F5A39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(relationship strengthening) activities</w:t>
      </w:r>
    </w:p>
    <w:p w14:paraId="02AD9D8D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EB28D1E" w14:textId="74CB0DA6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attending to the child/young person’s interests and appropriately</w:t>
      </w:r>
    </w:p>
    <w:p w14:paraId="62DC8E84" w14:textId="67D21A4D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incorporating these into the intervention</w:t>
      </w:r>
    </w:p>
    <w:p w14:paraId="0247E80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25436E5" w14:textId="1B9CDED0" w:rsidR="00127DB0" w:rsidRPr="00103A0C" w:rsidRDefault="00127DB0" w:rsidP="00127D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presenting as positive and hopeful</w:t>
      </w:r>
    </w:p>
    <w:p w14:paraId="73DAB15D" w14:textId="77777777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8238AD5" w14:textId="6C1C809E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C7F20F1" w14:textId="7777777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89C2749" w14:textId="1724D80C" w:rsidR="003D36F2" w:rsidRPr="00103A0C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7B8105D8" wp14:editId="1935BDD5">
            <wp:extent cx="5727700" cy="363347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64E9" w14:textId="05B000A3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C151168" w14:textId="541F749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5C9E502" w14:textId="3D63511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62BF279" w14:textId="7F01C81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2674800" w14:textId="4F41C97E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9DBC809" w14:textId="6F95C2E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F631C9D" w14:textId="784DA73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6161186" w14:textId="27AB226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B540317" w14:textId="1107673E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4107FED" w14:textId="68088F19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B66906B" w14:textId="18BF26A6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83A769B" w14:textId="75E5235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728AF882" w14:textId="586C7CF3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5025B81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DC6F86B" w14:textId="5F49925A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8"/>
          <w:szCs w:val="28"/>
        </w:rPr>
      </w:pPr>
      <w:r w:rsidRPr="004F5A39">
        <w:rPr>
          <w:rFonts w:ascii="Verdana" w:hAnsi="Verdana" w:cs="Times New Roman"/>
          <w:color w:val="00B4EB"/>
          <w:sz w:val="28"/>
          <w:szCs w:val="28"/>
        </w:rPr>
        <w:t>SKILLS… the ABCs…</w:t>
      </w:r>
    </w:p>
    <w:p w14:paraId="24808327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B4EB"/>
          <w:sz w:val="22"/>
          <w:szCs w:val="22"/>
        </w:rPr>
      </w:pPr>
    </w:p>
    <w:p w14:paraId="60702E47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A0B22FE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5D0AD2E" w14:textId="24A6528B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>B Behavioural techniques – awareness, triggers, techniques of change</w:t>
      </w:r>
    </w:p>
    <w:p w14:paraId="1BB96D06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3190723D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Demonstrates appropriate use of a variety of behavioural techniques to</w:t>
      </w:r>
    </w:p>
    <w:p w14:paraId="4E77A608" w14:textId="184A57BF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facilitate therapeutic change.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7714FC65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F295460" w14:textId="2894ED9F" w:rsidR="00127DB0" w:rsidRPr="00103A0C" w:rsidRDefault="00127DB0" w:rsidP="00127DB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behavioural techniques such as developing hierarchies, graded</w:t>
      </w:r>
    </w:p>
    <w:p w14:paraId="4F96CE0D" w14:textId="06F3FBE1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 xml:space="preserve">exposure, </w:t>
      </w:r>
      <w:r w:rsidR="00155B82">
        <w:rPr>
          <w:rFonts w:ascii="Verdana" w:hAnsi="Verdana" w:cs="Times New Roman"/>
          <w:color w:val="000000"/>
          <w:sz w:val="22"/>
          <w:szCs w:val="22"/>
        </w:rPr>
        <w:t>proactive and reactive strategies</w:t>
      </w:r>
    </w:p>
    <w:p w14:paraId="6C66505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76BA721" w14:textId="42F34E8F" w:rsidR="00127DB0" w:rsidRPr="00103A0C" w:rsidRDefault="00127DB0" w:rsidP="00127DB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using behavioural techniques such as activity rescheduling and</w:t>
      </w:r>
    </w:p>
    <w:p w14:paraId="27F79819" w14:textId="0F65947F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behavioural activation</w:t>
      </w:r>
    </w:p>
    <w:p w14:paraId="46FE80BC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092BB44" w14:textId="3520DC81" w:rsidR="00127DB0" w:rsidRDefault="00127DB0" w:rsidP="00127DB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providing a clear rationale for using behavioural strategies</w:t>
      </w:r>
    </w:p>
    <w:p w14:paraId="48B814B5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BEF47C6" w14:textId="29FE2851" w:rsidR="00127DB0" w:rsidRPr="004F5A39" w:rsidRDefault="00127DB0" w:rsidP="004F5A3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identifying and implementing reward and contingency plans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4F5A39">
        <w:rPr>
          <w:rFonts w:ascii="Verdana" w:hAnsi="Verdana" w:cs="Times New Roman"/>
          <w:color w:val="000000"/>
          <w:sz w:val="22"/>
          <w:szCs w:val="22"/>
        </w:rPr>
        <w:t>modelling, use of role play, structured problem</w:t>
      </w:r>
      <w:r w:rsidRPr="004F5A39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4F5A39">
        <w:rPr>
          <w:rFonts w:ascii="Verdana" w:hAnsi="Verdana" w:cs="Times New Roman"/>
          <w:color w:val="000000"/>
          <w:sz w:val="22"/>
          <w:szCs w:val="22"/>
        </w:rPr>
        <w:t>solving approaches, or</w:t>
      </w:r>
    </w:p>
    <w:p w14:paraId="75A1259B" w14:textId="0F9D3A22" w:rsidR="00127DB0" w:rsidRPr="00103A0C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skills training</w:t>
      </w:r>
    </w:p>
    <w:p w14:paraId="41C09253" w14:textId="77777777" w:rsidR="00127DB0" w:rsidRPr="00103A0C" w:rsidRDefault="00127DB0" w:rsidP="00127DB0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3E79790" w14:textId="77777777" w:rsidR="003D36F2" w:rsidRDefault="003D36F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3EB47F7" w14:textId="35431E6B" w:rsidR="00103A0C" w:rsidRPr="00103A0C" w:rsidRDefault="00155B82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</w:rPr>
        <w:drawing>
          <wp:inline distT="0" distB="0" distL="0" distR="0" wp14:anchorId="6AF2AD82" wp14:editId="15CE286D">
            <wp:extent cx="5727700" cy="3774440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78C5" w14:textId="77777777" w:rsidR="00041DE7" w:rsidRPr="00103A0C" w:rsidRDefault="00041DE7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5AA8C86" w14:textId="165D7A54" w:rsidR="00127DB0" w:rsidRDefault="00127DB0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1B2AA642" w14:textId="4E38FF3A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C7DAD56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07CFF75C" w14:textId="77777777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lastRenderedPageBreak/>
        <w:t>C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ab/>
        <w:t>Cognitive – awareness, identification, challenge, cognitive reframe</w:t>
      </w:r>
    </w:p>
    <w:p w14:paraId="6DF059FB" w14:textId="77777777" w:rsidR="00041DE7" w:rsidRPr="00103A0C" w:rsidRDefault="00041DE7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0514B4E" w14:textId="563FF03E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Demonstrates appropriate use of a variety of cognitive techniques to</w:t>
      </w:r>
    </w:p>
    <w:p w14:paraId="1FB56025" w14:textId="58F48591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facilitate therapeutic change.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37B4DE79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C36279D" w14:textId="622DB82C" w:rsidR="00127DB0" w:rsidRPr="00103A0C" w:rsidRDefault="00127DB0" w:rsidP="00041DE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facilitating cognitive awareness and the use of appropriate techniques</w:t>
      </w:r>
    </w:p>
    <w:p w14:paraId="33A8B62A" w14:textId="0ECF4176" w:rsidR="00041DE7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such as thought records and bubbles</w:t>
      </w:r>
    </w:p>
    <w:p w14:paraId="400F02A4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1634DB5" w14:textId="71B7CFB8" w:rsidR="00127DB0" w:rsidRPr="00103A0C" w:rsidRDefault="00127DB0" w:rsidP="00041DE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identification of cognitions that are functional/dysfunctional and helpful/</w:t>
      </w:r>
    </w:p>
    <w:p w14:paraId="59A8C5B6" w14:textId="62E13428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unhelpful</w:t>
      </w:r>
    </w:p>
    <w:p w14:paraId="749AC13D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B5B05C" w14:textId="322A78BD" w:rsidR="00127DB0" w:rsidRPr="00103A0C" w:rsidRDefault="00127DB0" w:rsidP="00041DE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identifying important dysfunctional cognitions and common cognitive</w:t>
      </w:r>
    </w:p>
    <w:p w14:paraId="673B852C" w14:textId="06267970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biases, ‘thinking traps’</w:t>
      </w:r>
    </w:p>
    <w:p w14:paraId="0D0D5E96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170DB52" w14:textId="27AB4195" w:rsidR="00127DB0" w:rsidRPr="00103A0C" w:rsidRDefault="00127DB0" w:rsidP="00041DE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facilitating the generation of alternative balanced cognitions by thought</w:t>
      </w:r>
    </w:p>
    <w:p w14:paraId="119AE00A" w14:textId="6E0DD3F7" w:rsidR="00127DB0" w:rsidRDefault="00127DB0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challenging and alternative perspective taking</w:t>
      </w:r>
    </w:p>
    <w:p w14:paraId="23898F23" w14:textId="77777777" w:rsidR="004F5A39" w:rsidRPr="00103A0C" w:rsidRDefault="004F5A39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9CCA6AA" w14:textId="77777777" w:rsidR="004F5A39" w:rsidRDefault="00127DB0" w:rsidP="00127DB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facilitating continuum work and use of rating scales</w:t>
      </w:r>
    </w:p>
    <w:p w14:paraId="68D810AF" w14:textId="77777777" w:rsidR="004F5A39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3FC33E5" w14:textId="2B2295C2" w:rsidR="00127DB0" w:rsidRPr="00103A0C" w:rsidRDefault="00103A0C" w:rsidP="00127DB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127DB0" w:rsidRPr="00103A0C">
        <w:rPr>
          <w:rFonts w:ascii="Verdana" w:hAnsi="Verdana" w:cs="Times New Roman"/>
          <w:color w:val="000000"/>
          <w:sz w:val="22"/>
          <w:szCs w:val="22"/>
        </w:rPr>
        <w:t>promoting mindfulness, acceptance, and compassion</w:t>
      </w:r>
    </w:p>
    <w:p w14:paraId="060C5DE7" w14:textId="77777777" w:rsidR="00041DE7" w:rsidRPr="00103A0C" w:rsidRDefault="00041DE7" w:rsidP="00103A0C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384736C" w14:textId="20FA19E1" w:rsidR="00137C18" w:rsidRDefault="00137C18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35BF90B3" wp14:editId="16118B58">
            <wp:extent cx="5727700" cy="3595370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EBF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30E0182" w14:textId="44050847" w:rsidR="00041DE7" w:rsidRDefault="00041DE7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01B6B8E" w14:textId="06F9DF4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F8A06F" w14:textId="6F2F87C8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D78EC1C" w14:textId="7306A9BD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1AAA102" w14:textId="69EFB28D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BA1A97C" w14:textId="73EFC0DA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FC65DFC" w14:textId="081070E1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9C72387" w14:textId="67AAF04C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3D16FFF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DB7CFA9" w14:textId="5B5CB73C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lastRenderedPageBreak/>
        <w:t>D Discovery – strengths, new information and meanings</w:t>
      </w:r>
    </w:p>
    <w:p w14:paraId="0EEE5EED" w14:textId="77777777" w:rsidR="00041DE7" w:rsidRPr="00103A0C" w:rsidRDefault="00041DE7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4FA66328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uses a variety of methods to facilitate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discovery and</w:t>
      </w:r>
    </w:p>
    <w:p w14:paraId="3D36CA6D" w14:textId="2F7AF766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understanding.</w:t>
      </w:r>
    </w:p>
    <w:p w14:paraId="1B71DEDF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A0089B7" w14:textId="77777777" w:rsidR="00127DB0" w:rsidRPr="00103A0C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01B034AF" w14:textId="4CC8D879" w:rsidR="00127DB0" w:rsidRPr="00103A0C" w:rsidRDefault="00127DB0" w:rsidP="00041D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facilitating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discovery and reflection through use of the Socratic</w:t>
      </w:r>
    </w:p>
    <w:p w14:paraId="5FE1D325" w14:textId="20387374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dialogue</w:t>
      </w:r>
    </w:p>
    <w:p w14:paraId="30B1DDBE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56E2DC6" w14:textId="69F38252" w:rsidR="00127DB0" w:rsidRPr="00103A0C" w:rsidRDefault="00127DB0" w:rsidP="00041D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facilitating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discovery through alternative perspective taking and</w:t>
      </w:r>
    </w:p>
    <w:p w14:paraId="1EDEF506" w14:textId="075D9F4B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attending to new information</w:t>
      </w:r>
    </w:p>
    <w:p w14:paraId="2DB4ADBB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A6AB6D4" w14:textId="7AD47BC7" w:rsidR="00127DB0" w:rsidRPr="00103A0C" w:rsidRDefault="00127DB0" w:rsidP="00041D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valuating beliefs, assumptions, and cognitions through behavioural</w:t>
      </w:r>
    </w:p>
    <w:p w14:paraId="1AF4C014" w14:textId="2CBF35FE" w:rsidR="00127DB0" w:rsidRDefault="00127DB0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experiments or prediction testin</w:t>
      </w:r>
      <w:r w:rsidR="004F5A39">
        <w:rPr>
          <w:rFonts w:ascii="Verdana" w:hAnsi="Verdana" w:cs="Times New Roman"/>
          <w:color w:val="000000"/>
          <w:sz w:val="22"/>
          <w:szCs w:val="22"/>
        </w:rPr>
        <w:t>g</w:t>
      </w:r>
    </w:p>
    <w:p w14:paraId="43AE2E29" w14:textId="77777777" w:rsidR="00041DE7" w:rsidRPr="00103A0C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741069A" w14:textId="0083422B" w:rsidR="00127DB0" w:rsidRPr="00137C18" w:rsidRDefault="00137C18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2D2E934B" wp14:editId="0B6D708B">
            <wp:extent cx="5702300" cy="393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2A3F" w14:textId="3E872A37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26B4AC2" w14:textId="491FD8F5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5D2F8BB" w14:textId="699D13F2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A1307FA" w14:textId="5725CC39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0188EB5" w14:textId="29279417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6E690421" w14:textId="4DD054A8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4C4C95CF" w14:textId="311C0BCE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1BFD9D01" w14:textId="6B7CE78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1CC3BA2" w14:textId="031871E0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BD53E71" w14:textId="1EC96B5E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3028B85C" w14:textId="253578A4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0F61EF8B" w14:textId="3B2F514F" w:rsidR="004F5A39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214F04D0" w14:textId="77777777" w:rsidR="004F5A39" w:rsidRPr="00103A0C" w:rsidRDefault="004F5A39" w:rsidP="00127DB0">
      <w:pPr>
        <w:autoSpaceDE w:val="0"/>
        <w:autoSpaceDN w:val="0"/>
        <w:adjustRightInd w:val="0"/>
        <w:rPr>
          <w:rFonts w:ascii="Verdana" w:hAnsi="Verdana" w:cs="Times New Roman"/>
          <w:color w:val="9AD5F4"/>
          <w:sz w:val="22"/>
          <w:szCs w:val="22"/>
        </w:rPr>
      </w:pPr>
    </w:p>
    <w:p w14:paraId="5C0C86BB" w14:textId="45967722" w:rsidR="00127DB0" w:rsidRPr="004F5A39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lastRenderedPageBreak/>
        <w:t>E</w:t>
      </w: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tab/>
        <w:t>Emotional – awareness, identification, management</w:t>
      </w:r>
    </w:p>
    <w:p w14:paraId="38652566" w14:textId="77777777" w:rsidR="00041DE7" w:rsidRPr="00103A0C" w:rsidRDefault="00041DE7" w:rsidP="00127DB0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1DD23B04" w14:textId="651EC792" w:rsidR="00127DB0" w:rsidRDefault="00127DB0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uses a variety of emotional techniques to facilitate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therapeutic change</w:t>
      </w:r>
      <w:r w:rsidR="00041DE7" w:rsidRPr="00103A0C">
        <w:rPr>
          <w:rFonts w:ascii="Verdana" w:hAnsi="Verdana" w:cs="Times New Roman"/>
          <w:color w:val="000000"/>
          <w:sz w:val="22"/>
          <w:szCs w:val="22"/>
        </w:rPr>
        <w:t>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68DB2605" w14:textId="77777777" w:rsidR="00103A0C" w:rsidRP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52EBB08" w14:textId="2650C16D" w:rsidR="00127DB0" w:rsidRPr="00103A0C" w:rsidRDefault="00127DB0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emotional literacy by facilitating the identification of a range</w:t>
      </w:r>
    </w:p>
    <w:p w14:paraId="0CC9ECB0" w14:textId="7AF3204E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of emotions</w:t>
      </w:r>
    </w:p>
    <w:p w14:paraId="5C2B3C75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989DA0E" w14:textId="77442E4B" w:rsidR="00127DB0" w:rsidRPr="00103A0C" w:rsidRDefault="00127DB0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helping to distinguish between different emotions and identifying key</w:t>
      </w:r>
    </w:p>
    <w:p w14:paraId="787F14D0" w14:textId="058EB067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bodily signals</w:t>
      </w:r>
    </w:p>
    <w:p w14:paraId="4E1211D9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E4E6593" w14:textId="4C511BEB" w:rsidR="00127DB0" w:rsidRPr="00103A0C" w:rsidRDefault="00127DB0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emotional management skills such as relaxation, guided</w:t>
      </w:r>
    </w:p>
    <w:p w14:paraId="609B9589" w14:textId="076BC57E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imagery, controlled breathing, and calming activities</w:t>
      </w:r>
    </w:p>
    <w:p w14:paraId="4C843A7B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BC4A081" w14:textId="1EAFFE9D" w:rsidR="00127DB0" w:rsidRPr="00103A0C" w:rsidRDefault="00127DB0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emotional management skills such as physical activity, letting</w:t>
      </w:r>
    </w:p>
    <w:p w14:paraId="514E58BE" w14:textId="77777777" w:rsidR="00127DB0" w:rsidRPr="00103A0C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the feelings go, emotional metaphors, emotive imagery, and change the</w:t>
      </w:r>
    </w:p>
    <w:p w14:paraId="45AF4FBC" w14:textId="11D7839B" w:rsidR="00127DB0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feeling</w:t>
      </w:r>
    </w:p>
    <w:p w14:paraId="13E0919A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192A98C" w14:textId="1E534C6A" w:rsidR="00127DB0" w:rsidRPr="00103A0C" w:rsidRDefault="00127DB0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developing emotional management skills such as self</w:t>
      </w:r>
      <w:r w:rsidRPr="00103A0C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103A0C">
        <w:rPr>
          <w:rFonts w:ascii="Verdana" w:hAnsi="Verdana" w:cs="Times New Roman"/>
          <w:color w:val="000000"/>
          <w:sz w:val="22"/>
          <w:szCs w:val="22"/>
        </w:rPr>
        <w:t>soothing, mind</w:t>
      </w:r>
    </w:p>
    <w:p w14:paraId="227F604A" w14:textId="293E6E94" w:rsidR="00127DB0" w:rsidRPr="00103A0C" w:rsidRDefault="00127DB0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games, and mindfulness</w:t>
      </w:r>
    </w:p>
    <w:p w14:paraId="3682D338" w14:textId="77777777" w:rsidR="00041DE7" w:rsidRPr="00103A0C" w:rsidRDefault="00041DE7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101BAA0" w14:textId="468E0B8A" w:rsidR="00103A0C" w:rsidRDefault="00103A0C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25D9582" w14:textId="31C46661" w:rsidR="00137C18" w:rsidRPr="00103A0C" w:rsidRDefault="00137C18" w:rsidP="00127DB0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56987712" wp14:editId="0B143D0A">
            <wp:extent cx="5727700" cy="3839845"/>
            <wp:effectExtent l="0" t="0" r="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2224" w14:textId="5B24EEFE" w:rsidR="00041DE7" w:rsidRDefault="00041DE7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2F16E33" w14:textId="731D71E4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BA73016" w14:textId="67ECAA5C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D507A9D" w14:textId="137CC828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35176865" w14:textId="5E0CB791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28EB1D74" w14:textId="5ED5B492" w:rsidR="004F5A39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477D1F2D" w14:textId="77777777" w:rsidR="004F5A39" w:rsidRPr="00103A0C" w:rsidRDefault="004F5A39" w:rsidP="00127DB0">
      <w:pPr>
        <w:rPr>
          <w:rFonts w:ascii="Verdana" w:hAnsi="Verdana" w:cs="Times New Roman"/>
          <w:color w:val="000000"/>
          <w:sz w:val="22"/>
          <w:szCs w:val="22"/>
        </w:rPr>
      </w:pPr>
    </w:p>
    <w:p w14:paraId="7A92EC6F" w14:textId="4485B275" w:rsidR="00041DE7" w:rsidRPr="00155B82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155B82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lastRenderedPageBreak/>
        <w:t>G General skills – session planning and organisation</w:t>
      </w:r>
    </w:p>
    <w:p w14:paraId="581C067F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4472C4" w:themeColor="accent1"/>
          <w:sz w:val="22"/>
          <w:szCs w:val="22"/>
        </w:rPr>
      </w:pPr>
    </w:p>
    <w:p w14:paraId="2365DFEE" w14:textId="6D1968F3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Sessions are well prepared and conducted in a calm and organised way.</w:t>
      </w:r>
      <w:r w:rsidR="004F5A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by:</w:t>
      </w:r>
    </w:p>
    <w:p w14:paraId="0D2AF280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64C68BB" w14:textId="350B9FC6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preparing and bringing the necessary materials and equipment to the</w:t>
      </w:r>
    </w:p>
    <w:p w14:paraId="0C5A9B6A" w14:textId="51A6ABBE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meeting</w:t>
      </w:r>
    </w:p>
    <w:p w14:paraId="0217704C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B08DDF2" w14:textId="05DBE4FE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managing the child/young person’s behaviour during sessions</w:t>
      </w:r>
    </w:p>
    <w:p w14:paraId="5FEC9C18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E37355F" w14:textId="695B5D52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that sessions have an agenda and clear goals and are</w:t>
      </w:r>
    </w:p>
    <w:p w14:paraId="36809A54" w14:textId="68AC4499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appropriately structured</w:t>
      </w:r>
    </w:p>
    <w:p w14:paraId="33D080BE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6BF8EE9" w14:textId="5CBE0D46" w:rsidR="004F5A39" w:rsidRDefault="00041DE7" w:rsidP="004F5A3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good timekeeping so that all tasks are completed</w:t>
      </w:r>
    </w:p>
    <w:p w14:paraId="02100C00" w14:textId="77777777" w:rsidR="004F5A39" w:rsidRPr="004F5A39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52C6F9F" w14:textId="3AF5014D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that sessions are appropriately paced, flexible, and responsive to</w:t>
      </w:r>
    </w:p>
    <w:p w14:paraId="14C2DAFD" w14:textId="3F41B049" w:rsidR="00041DE7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the needs of the child/young person</w:t>
      </w:r>
    </w:p>
    <w:p w14:paraId="5614B064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257E68B" w14:textId="45BFC7A6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preparing for endings and relapse prevention</w:t>
      </w:r>
    </w:p>
    <w:p w14:paraId="695B146D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DE43238" w14:textId="77777777" w:rsidR="00041DE7" w:rsidRPr="00103A0C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162D91D" w14:textId="37388CCC" w:rsidR="00137C18" w:rsidRPr="00103A0C" w:rsidRDefault="00137C18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0F7E3166" wp14:editId="6C0B3A00">
            <wp:extent cx="5727700" cy="3013710"/>
            <wp:effectExtent l="0" t="0" r="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54CA2" w14:textId="662B93BB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0CF499F" w14:textId="1B4826B1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01042E" w14:textId="540A352C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A6B85F" w14:textId="64FBD0C1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B845774" w14:textId="0F1BC0BB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6BD7344" w14:textId="1CFBCD6C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3047A49" w14:textId="5DD3F206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26F8B02B" w14:textId="2D8B1FE3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D531F21" w14:textId="08DE22C3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CE84A49" w14:textId="0676BC3F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14207BAE" w14:textId="3D357DEE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482CE462" w14:textId="7D426408" w:rsidR="004F5A39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77047E57" w14:textId="77777777" w:rsidR="004F5A39" w:rsidRPr="00103A0C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C6634E6" w14:textId="3439D172" w:rsidR="00041DE7" w:rsidRPr="004F5A39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  <w:r w:rsidRPr="004F5A39">
        <w:rPr>
          <w:rFonts w:ascii="Verdana" w:hAnsi="Verdana" w:cs="Times New Roman"/>
          <w:b/>
          <w:bCs/>
          <w:color w:val="4472C4" w:themeColor="accent1"/>
          <w:sz w:val="22"/>
          <w:szCs w:val="22"/>
        </w:rPr>
        <w:lastRenderedPageBreak/>
        <w:t>H Home assignments – transfer knowledge and skills to everyday life</w:t>
      </w:r>
    </w:p>
    <w:p w14:paraId="2924E027" w14:textId="77777777" w:rsidR="00041DE7" w:rsidRPr="004F5A39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4472C4" w:themeColor="accent1"/>
          <w:sz w:val="22"/>
          <w:szCs w:val="22"/>
        </w:rPr>
      </w:pPr>
    </w:p>
    <w:p w14:paraId="28085384" w14:textId="77777777" w:rsidR="00041DE7" w:rsidRPr="00103A0C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Uses home assignments to gather data and transfer skills between clinical</w:t>
      </w:r>
    </w:p>
    <w:p w14:paraId="4DA23217" w14:textId="3994CB14" w:rsidR="00041DE7" w:rsidRDefault="00041DE7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sessions and everyday life.</w:t>
      </w:r>
      <w:r w:rsidR="00103A0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03A0C">
        <w:rPr>
          <w:rFonts w:ascii="Verdana" w:hAnsi="Verdana" w:cs="Times New Roman"/>
          <w:color w:val="000000"/>
          <w:sz w:val="22"/>
          <w:szCs w:val="22"/>
        </w:rPr>
        <w:t>This may be evidenced by</w:t>
      </w:r>
      <w:r w:rsidR="004F5A39">
        <w:rPr>
          <w:rFonts w:ascii="Verdana" w:hAnsi="Verdana" w:cs="Times New Roman"/>
          <w:color w:val="000000"/>
          <w:sz w:val="22"/>
          <w:szCs w:val="22"/>
        </w:rPr>
        <w:t>:</w:t>
      </w:r>
    </w:p>
    <w:p w14:paraId="1C3F93B0" w14:textId="77777777" w:rsidR="004F5A39" w:rsidRPr="00103A0C" w:rsidRDefault="004F5A39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26889F9" w14:textId="0FF98187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negotiating and agreeing assignment tasks</w:t>
      </w:r>
    </w:p>
    <w:p w14:paraId="71EAD029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F820BB1" w14:textId="4C8AAEA9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assignments are meaningful and clearly related to the</w:t>
      </w:r>
    </w:p>
    <w:p w14:paraId="45B82E85" w14:textId="635A3F55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formulation and clinical session</w:t>
      </w:r>
    </w:p>
    <w:p w14:paraId="183C81D0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0877501C" w14:textId="4F37C7C3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ensuring assignments are consistent with the young person’s</w:t>
      </w:r>
    </w:p>
    <w:p w14:paraId="7129A288" w14:textId="34EFFE3F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developmental level, interests, and ability</w:t>
      </w:r>
    </w:p>
    <w:p w14:paraId="75F97BE5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604F1898" w14:textId="12EF8350" w:rsidR="00041DE7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agreeing realistic, achievable, and safe assignments</w:t>
      </w:r>
    </w:p>
    <w:p w14:paraId="098D46F1" w14:textId="77777777" w:rsidR="004F5A39" w:rsidRPr="00103A0C" w:rsidRDefault="004F5A39" w:rsidP="004F5A39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556F5BE7" w14:textId="0A67EB5A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referring to goals when planning home assignments and to rating scales</w:t>
      </w:r>
    </w:p>
    <w:p w14:paraId="43554B1A" w14:textId="5C4A7082" w:rsidR="004F5A39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when reviewing progress</w:t>
      </w:r>
    </w:p>
    <w:p w14:paraId="2ECB237D" w14:textId="77777777" w:rsidR="004F5A39" w:rsidRPr="00103A0C" w:rsidRDefault="004F5A39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AA6447F" w14:textId="2FFF92A5" w:rsidR="00041DE7" w:rsidRPr="00103A0C" w:rsidRDefault="00041DE7" w:rsidP="00041DE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 w:rsidRPr="00103A0C">
        <w:rPr>
          <w:rFonts w:ascii="Verdana" w:hAnsi="Verdana" w:cs="Times New Roman"/>
          <w:color w:val="000000"/>
          <w:sz w:val="22"/>
          <w:szCs w:val="22"/>
        </w:rPr>
        <w:t>encouraging review and reflection of learning</w:t>
      </w:r>
    </w:p>
    <w:p w14:paraId="7AA988CC" w14:textId="77777777" w:rsidR="00041DE7" w:rsidRPr="00103A0C" w:rsidRDefault="00041DE7" w:rsidP="00041DE7">
      <w:pPr>
        <w:pStyle w:val="ListParagraph"/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</w:p>
    <w:p w14:paraId="3DDE0FC3" w14:textId="6F6E0006" w:rsidR="00137C18" w:rsidRPr="00103A0C" w:rsidRDefault="00137C18" w:rsidP="00041DE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noProof/>
          <w:color w:val="000000"/>
          <w:sz w:val="22"/>
          <w:szCs w:val="22"/>
          <w:lang w:eastAsia="en-GB"/>
        </w:rPr>
        <w:drawing>
          <wp:inline distT="0" distB="0" distL="0" distR="0" wp14:anchorId="6A03E003" wp14:editId="33397E10">
            <wp:extent cx="5727700" cy="36620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4B72" w14:textId="3FA5F0BF" w:rsidR="00041DE7" w:rsidRPr="00103A0C" w:rsidRDefault="00041DE7" w:rsidP="00041DE7">
      <w:pPr>
        <w:rPr>
          <w:rFonts w:ascii="Verdana" w:hAnsi="Verdana"/>
          <w:sz w:val="22"/>
          <w:szCs w:val="22"/>
        </w:rPr>
      </w:pPr>
    </w:p>
    <w:sectPr w:rsidR="00041DE7" w:rsidRPr="00103A0C" w:rsidSect="001B4E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4DF"/>
    <w:multiLevelType w:val="hybridMultilevel"/>
    <w:tmpl w:val="012E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CF5"/>
    <w:multiLevelType w:val="hybridMultilevel"/>
    <w:tmpl w:val="54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116D"/>
    <w:multiLevelType w:val="hybridMultilevel"/>
    <w:tmpl w:val="721C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4AE"/>
    <w:multiLevelType w:val="hybridMultilevel"/>
    <w:tmpl w:val="6E00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6CA"/>
    <w:multiLevelType w:val="hybridMultilevel"/>
    <w:tmpl w:val="886E8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17547"/>
    <w:multiLevelType w:val="hybridMultilevel"/>
    <w:tmpl w:val="D6D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2D40"/>
    <w:multiLevelType w:val="hybridMultilevel"/>
    <w:tmpl w:val="4466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3AD0"/>
    <w:multiLevelType w:val="hybridMultilevel"/>
    <w:tmpl w:val="07DCD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AF7A59"/>
    <w:multiLevelType w:val="hybridMultilevel"/>
    <w:tmpl w:val="EE363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1E97"/>
    <w:multiLevelType w:val="hybridMultilevel"/>
    <w:tmpl w:val="D24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C6780"/>
    <w:multiLevelType w:val="hybridMultilevel"/>
    <w:tmpl w:val="B060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D65CB"/>
    <w:multiLevelType w:val="hybridMultilevel"/>
    <w:tmpl w:val="79E0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2401"/>
    <w:multiLevelType w:val="hybridMultilevel"/>
    <w:tmpl w:val="01DA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5B9F"/>
    <w:multiLevelType w:val="hybridMultilevel"/>
    <w:tmpl w:val="5F12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247878">
    <w:abstractNumId w:val="5"/>
  </w:num>
  <w:num w:numId="2" w16cid:durableId="1795633705">
    <w:abstractNumId w:val="8"/>
  </w:num>
  <w:num w:numId="3" w16cid:durableId="1427535314">
    <w:abstractNumId w:val="3"/>
  </w:num>
  <w:num w:numId="4" w16cid:durableId="545990007">
    <w:abstractNumId w:val="7"/>
  </w:num>
  <w:num w:numId="5" w16cid:durableId="1428578603">
    <w:abstractNumId w:val="4"/>
  </w:num>
  <w:num w:numId="6" w16cid:durableId="1835149586">
    <w:abstractNumId w:val="9"/>
  </w:num>
  <w:num w:numId="7" w16cid:durableId="36273344">
    <w:abstractNumId w:val="2"/>
  </w:num>
  <w:num w:numId="8" w16cid:durableId="1638871569">
    <w:abstractNumId w:val="0"/>
  </w:num>
  <w:num w:numId="9" w16cid:durableId="1775711645">
    <w:abstractNumId w:val="12"/>
  </w:num>
  <w:num w:numId="10" w16cid:durableId="287705158">
    <w:abstractNumId w:val="13"/>
  </w:num>
  <w:num w:numId="11" w16cid:durableId="997537629">
    <w:abstractNumId w:val="1"/>
  </w:num>
  <w:num w:numId="12" w16cid:durableId="1093553463">
    <w:abstractNumId w:val="6"/>
  </w:num>
  <w:num w:numId="13" w16cid:durableId="1696610199">
    <w:abstractNumId w:val="10"/>
  </w:num>
  <w:num w:numId="14" w16cid:durableId="1039283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B0"/>
    <w:rsid w:val="0002046A"/>
    <w:rsid w:val="00041DE7"/>
    <w:rsid w:val="00103A0C"/>
    <w:rsid w:val="00127DB0"/>
    <w:rsid w:val="00137C18"/>
    <w:rsid w:val="00155B82"/>
    <w:rsid w:val="001B4E93"/>
    <w:rsid w:val="0030641B"/>
    <w:rsid w:val="003112ED"/>
    <w:rsid w:val="003D36F2"/>
    <w:rsid w:val="004401B0"/>
    <w:rsid w:val="004F5A39"/>
    <w:rsid w:val="00501A7E"/>
    <w:rsid w:val="0059104A"/>
    <w:rsid w:val="00627203"/>
    <w:rsid w:val="00660328"/>
    <w:rsid w:val="00963412"/>
    <w:rsid w:val="00974F4B"/>
    <w:rsid w:val="00A41B61"/>
    <w:rsid w:val="00B264AE"/>
    <w:rsid w:val="00D916E6"/>
    <w:rsid w:val="00DC7371"/>
    <w:rsid w:val="00E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10A4"/>
  <w14:defaultImageDpi w14:val="32767"/>
  <w15:chartTrackingRefBased/>
  <w15:docId w15:val="{F67C503F-5CB4-304D-8C38-FF16DD0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SIMON</dc:creator>
  <cp:keywords/>
  <dc:description/>
  <cp:lastModifiedBy>Alvis, Joe</cp:lastModifiedBy>
  <cp:revision>2</cp:revision>
  <dcterms:created xsi:type="dcterms:W3CDTF">2022-11-25T11:33:00Z</dcterms:created>
  <dcterms:modified xsi:type="dcterms:W3CDTF">2022-11-25T11:33:00Z</dcterms:modified>
</cp:coreProperties>
</file>