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A124" w14:textId="77777777" w:rsidR="00B53CB5" w:rsidRPr="00C501D4" w:rsidRDefault="00B53CB5" w:rsidP="004F5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>Marking Criteria</w:t>
      </w:r>
    </w:p>
    <w:p w14:paraId="52237954" w14:textId="708C9367" w:rsidR="00B53CB5" w:rsidRPr="00C501D4" w:rsidRDefault="003F51CA" w:rsidP="004F5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ASD/ LD </w:t>
      </w:r>
      <w:r w:rsidR="00B53CB5"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>Module 2 Competency Recording A</w:t>
      </w:r>
    </w:p>
    <w:p w14:paraId="25CD9D32" w14:textId="3734F10D" w:rsidR="00B53CB5" w:rsidRPr="00C501D4" w:rsidRDefault="00B53CB5" w:rsidP="004F5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>CBT As</w:t>
      </w:r>
      <w:r w:rsidR="00C501D4"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>s</w:t>
      </w:r>
      <w:r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essment  </w:t>
      </w:r>
    </w:p>
    <w:p w14:paraId="25E3FB06" w14:textId="64C3C6AD" w:rsidR="00127DB0" w:rsidRPr="004F5A39" w:rsidRDefault="00B53CB5" w:rsidP="004F5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B4EB"/>
          <w:sz w:val="36"/>
          <w:szCs w:val="36"/>
        </w:rPr>
      </w:pPr>
      <w:r w:rsidRPr="00B53CB5">
        <w:rPr>
          <w:rFonts w:ascii="Times New Roman" w:hAnsi="Times New Roman" w:cs="Times New Roman"/>
          <w:color w:val="00B4EB"/>
        </w:rPr>
        <w:t xml:space="preserve">Criteria based on </w:t>
      </w:r>
      <w:r w:rsidR="00127DB0" w:rsidRPr="00B53CB5">
        <w:rPr>
          <w:rFonts w:ascii="Times New Roman" w:hAnsi="Times New Roman" w:cs="Times New Roman"/>
          <w:color w:val="00B4EB"/>
        </w:rPr>
        <w:t>CBTS‐CYP</w:t>
      </w:r>
      <w:r w:rsidR="00103A0C" w:rsidRPr="00B53CB5">
        <w:rPr>
          <w:rFonts w:ascii="Times New Roman" w:hAnsi="Times New Roman" w:cs="Times New Roman"/>
          <w:color w:val="00B4EB"/>
        </w:rPr>
        <w:t xml:space="preserve"> </w:t>
      </w:r>
      <w:r w:rsidRPr="00B53CB5">
        <w:rPr>
          <w:rFonts w:ascii="Times New Roman" w:hAnsi="Times New Roman" w:cs="Times New Roman"/>
          <w:color w:val="00B4EB"/>
        </w:rPr>
        <w:t>Stallard (2021)</w:t>
      </w:r>
    </w:p>
    <w:p w14:paraId="5A39CB94" w14:textId="77777777" w:rsidR="00127DB0" w:rsidRPr="00C501D4" w:rsidRDefault="00127DB0" w:rsidP="00127DB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8C85383" w14:textId="5F99375D" w:rsidR="00103A0C" w:rsidRDefault="00127DB0" w:rsidP="00127DB0">
      <w:pPr>
        <w:autoSpaceDE w:val="0"/>
        <w:autoSpaceDN w:val="0"/>
        <w:adjustRightInd w:val="0"/>
        <w:rPr>
          <w:rFonts w:ascii="Cambria Math" w:hAnsi="Cambria Math" w:cs="Cambria Math"/>
          <w:color w:val="000000" w:themeColor="text1"/>
          <w:sz w:val="28"/>
          <w:szCs w:val="28"/>
        </w:rPr>
      </w:pPr>
      <w:r w:rsidRPr="00C501D4">
        <w:rPr>
          <w:rFonts w:ascii="Verdana" w:hAnsi="Verdana" w:cs="Times New Roman"/>
          <w:color w:val="000000" w:themeColor="text1"/>
          <w:sz w:val="28"/>
          <w:szCs w:val="28"/>
        </w:rPr>
        <w:t xml:space="preserve">PROCESS </w:t>
      </w:r>
    </w:p>
    <w:p w14:paraId="13EDC3E1" w14:textId="77777777" w:rsidR="00C501D4" w:rsidRPr="00103A0C" w:rsidRDefault="00C501D4" w:rsidP="00127DB0">
      <w:pPr>
        <w:autoSpaceDE w:val="0"/>
        <w:autoSpaceDN w:val="0"/>
        <w:adjustRightInd w:val="0"/>
        <w:rPr>
          <w:rFonts w:ascii="Verdana" w:hAnsi="Verdana" w:cs="Times New Roman"/>
          <w:color w:val="00B4EB"/>
          <w:sz w:val="28"/>
          <w:szCs w:val="28"/>
        </w:rPr>
      </w:pPr>
    </w:p>
    <w:p w14:paraId="4BF0061D" w14:textId="4E14299A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</w:rPr>
      </w:pPr>
      <w:r w:rsidRPr="00103A0C">
        <w:rPr>
          <w:rFonts w:ascii="Verdana" w:hAnsi="Verdana" w:cs="Times New Roman"/>
          <w:b/>
          <w:bCs/>
          <w:color w:val="4472C4" w:themeColor="accent1"/>
        </w:rPr>
        <w:t>1 Partnership working – collaboration and learning together</w:t>
      </w:r>
    </w:p>
    <w:p w14:paraId="768CE97C" w14:textId="77777777" w:rsidR="00127DB0" w:rsidRPr="00127DB0" w:rsidRDefault="00127DB0" w:rsidP="00127D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472C4" w:themeColor="accent1"/>
        </w:rPr>
      </w:pPr>
    </w:p>
    <w:p w14:paraId="18D7F4F6" w14:textId="7064B5B4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Establishes a collaborative and respectful partnership with the child/young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person (and, as appropriate, their parents/carers) in which they are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actively engaged in working towards a set of joint goals and targets.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21F030EE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FDD4794" w14:textId="70C680CF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eliciting the child/young person’s and parents/carers’ understanding and</w:t>
      </w:r>
    </w:p>
    <w:p w14:paraId="11AE2E4F" w14:textId="6185834A" w:rsidR="004F5A39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views</w:t>
      </w:r>
    </w:p>
    <w:p w14:paraId="5A0A877F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071EB23" w14:textId="2D5AF169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and inviting the child/young person to participate in</w:t>
      </w:r>
    </w:p>
    <w:p w14:paraId="7D565682" w14:textId="60FCF644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discussions, option appraisal, and decision making</w:t>
      </w:r>
    </w:p>
    <w:p w14:paraId="63807474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441AD4A" w14:textId="6451BF52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involving the child/young person and parent/carer in goal and target</w:t>
      </w:r>
    </w:p>
    <w:p w14:paraId="16A1D7A9" w14:textId="5200799B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setting, intervention planning, home assignments, and experiments</w:t>
      </w:r>
    </w:p>
    <w:p w14:paraId="7746059F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9DB37E6" w14:textId="5508FA35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the child/young person to provide open and honest feedback</w:t>
      </w:r>
    </w:p>
    <w:p w14:paraId="49FC53A9" w14:textId="6B6B6694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about sessions</w:t>
      </w:r>
    </w:p>
    <w:p w14:paraId="02080DBA" w14:textId="0A033CD7" w:rsidR="003D36F2" w:rsidRDefault="003D36F2" w:rsidP="00103A0C">
      <w:pPr>
        <w:pStyle w:val="ListParagraph"/>
        <w:autoSpaceDE w:val="0"/>
        <w:autoSpaceDN w:val="0"/>
        <w:adjustRightInd w:val="0"/>
        <w:ind w:left="0"/>
        <w:rPr>
          <w:rFonts w:ascii="Verdana" w:hAnsi="Verdana" w:cs="Times New Roman"/>
          <w:color w:val="000000"/>
          <w:sz w:val="22"/>
          <w:szCs w:val="22"/>
        </w:rPr>
      </w:pPr>
    </w:p>
    <w:p w14:paraId="3941B44A" w14:textId="3F799AF5" w:rsidR="003D36F2" w:rsidRPr="00103A0C" w:rsidRDefault="003D36F2" w:rsidP="00103A0C">
      <w:pPr>
        <w:pStyle w:val="ListParagraph"/>
        <w:autoSpaceDE w:val="0"/>
        <w:autoSpaceDN w:val="0"/>
        <w:adjustRightInd w:val="0"/>
        <w:ind w:left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lastRenderedPageBreak/>
        <w:drawing>
          <wp:inline distT="0" distB="0" distL="0" distR="0" wp14:anchorId="373A8BD6" wp14:editId="6422FD52">
            <wp:extent cx="5727700" cy="331089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FB26" w14:textId="77777777" w:rsidR="00127DB0" w:rsidRPr="00103A0C" w:rsidRDefault="00127DB0" w:rsidP="00127DB0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E60967D" w14:textId="124B209F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672F3A1E" w14:textId="19D5803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EA5A138" w14:textId="23269AE4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B10E37D" w14:textId="71F3F0E6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366D9420" w14:textId="24D8711C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E77FEB7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0D743432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BF23ABB" w14:textId="0A7A35F2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2 Right developmental level – pitch, methods, family involvement</w:t>
      </w:r>
    </w:p>
    <w:p w14:paraId="1852C6A4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6C411B2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Engages with the child/young person and family at a level and in a manner</w:t>
      </w:r>
    </w:p>
    <w:p w14:paraId="2115A4A1" w14:textId="57C07138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that is consistent with their developmental level and understanding.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0CC4566D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65984BC" w14:textId="573AEA32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an optimal balance between cognitive and behavioural</w:t>
      </w:r>
    </w:p>
    <w:p w14:paraId="331AD55D" w14:textId="6078C517" w:rsidR="004F5A39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techniques</w:t>
      </w:r>
    </w:p>
    <w:p w14:paraId="142DE83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1B05ED2" w14:textId="6CCD3A95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simple, clear, jargon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free language that is respectful and not</w:t>
      </w:r>
    </w:p>
    <w:p w14:paraId="1632894A" w14:textId="5EE1F10F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patronising</w:t>
      </w:r>
    </w:p>
    <w:p w14:paraId="1CE9AB63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BC99E0C" w14:textId="7713D2C8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using a variety of verbal (direct and indirect approaches)</w:t>
      </w:r>
    </w:p>
    <w:p w14:paraId="6082855C" w14:textId="56F6DF8A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verbal techniques</w:t>
      </w:r>
    </w:p>
    <w:p w14:paraId="57EA98D5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57A1AAE" w14:textId="0A43037A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appropriately involving parents/carers/others in sessions.</w:t>
      </w:r>
    </w:p>
    <w:p w14:paraId="47E905C2" w14:textId="518EC448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3769FE6" w14:textId="18E10603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7D96B14" w14:textId="3C5EE6CA" w:rsidR="00127DB0" w:rsidRPr="00103A0C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3DC9114F" wp14:editId="093E76C4">
            <wp:extent cx="5727700" cy="3885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BB65" w14:textId="7C736727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249379B" w14:textId="7DE719A2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5CF6473" w14:textId="204D485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FDD5D7E" w14:textId="7A587879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F12A1A9" w14:textId="78D092D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49EB9D1" w14:textId="084B7440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1B76F53" w14:textId="0536A636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33F0527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8BEC081" w14:textId="5DF60C34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3 Empathy – genuine, warm, understanding</w:t>
      </w:r>
    </w:p>
    <w:p w14:paraId="467E7D63" w14:textId="77777777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</w:p>
    <w:p w14:paraId="04A69B57" w14:textId="63B56FF9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Empathises with the child/young person and their carers/family through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the development of a genuine, warm, and respectful relationship.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4295963F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4392B42" w14:textId="7FB1D336" w:rsidR="00127DB0" w:rsidRDefault="00127DB0" w:rsidP="00127D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23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conveying interest and concern through use of specific skills such as active</w:t>
      </w:r>
    </w:p>
    <w:p w14:paraId="6400C722" w14:textId="77777777" w:rsidR="004F5A39" w:rsidRPr="004F5A39" w:rsidRDefault="004F5A39" w:rsidP="004F5A39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03D46A2" w14:textId="55DAFD5A" w:rsidR="00127DB0" w:rsidRDefault="00127DB0" w:rsidP="00127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listening, reflection, and summaries</w:t>
      </w:r>
    </w:p>
    <w:p w14:paraId="4D363DBC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9CBB5E0" w14:textId="7E321236" w:rsidR="00127DB0" w:rsidRPr="00103A0C" w:rsidRDefault="00127DB0" w:rsidP="00127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acknowledging and appropriately responding to the child/young person’s</w:t>
      </w:r>
    </w:p>
    <w:p w14:paraId="170D4A7D" w14:textId="77777777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carers/parents’ verbal 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verbal expressions and emotional</w:t>
      </w:r>
    </w:p>
    <w:p w14:paraId="73EF577A" w14:textId="3FF1A711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responses such as distress, excitement, or anxiety</w:t>
      </w:r>
    </w:p>
    <w:p w14:paraId="34A2FC69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DC51D15" w14:textId="3DCF5486" w:rsidR="004F5A39" w:rsidRDefault="00127DB0" w:rsidP="004F5A3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demonstrating an open, respectful,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judgemental, caring approach</w:t>
      </w:r>
    </w:p>
    <w:p w14:paraId="55EA6674" w14:textId="77777777" w:rsidR="004F5A39" w:rsidRPr="004F5A39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C040CA2" w14:textId="25BEE589" w:rsidR="00127DB0" w:rsidRPr="00103A0C" w:rsidRDefault="00127DB0" w:rsidP="00127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empathising with carers/parents about their own difficulties</w:t>
      </w:r>
    </w:p>
    <w:p w14:paraId="0265799F" w14:textId="39D9EF8E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the impact of these on their ability to help their child</w:t>
      </w:r>
    </w:p>
    <w:p w14:paraId="11670FE8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50DD9D4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F9361EC" w14:textId="6E7DC20B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698A0E70" wp14:editId="3827DED7">
            <wp:extent cx="5727700" cy="3350895"/>
            <wp:effectExtent l="0" t="0" r="0" b="190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091F" w14:textId="77777777" w:rsidR="00127DB0" w:rsidRPr="00103A0C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9AE4525" w14:textId="78C7DDDE" w:rsidR="00127DB0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6979233" w14:textId="1FD06E72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A29BC92" w14:textId="4E33E682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81EEF48" w14:textId="15CE5FC5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93CCE67" w14:textId="1CC703FC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9F0A7BA" w14:textId="405F417E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1605E16" w14:textId="09062745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C1D3B29" w14:textId="18737D79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1A13BD0" w14:textId="41805E86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4B70ADA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CFB76B9" w14:textId="10FAD004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4 Creative – verbal and non</w:t>
      </w:r>
      <w:r w:rsidRPr="004F5A39">
        <w:rPr>
          <w:rFonts w:ascii="Cambria Math" w:hAnsi="Cambria Math" w:cs="Cambria Math"/>
          <w:b/>
          <w:bCs/>
          <w:color w:val="4472C4" w:themeColor="accent1"/>
          <w:sz w:val="22"/>
          <w:szCs w:val="22"/>
        </w:rPr>
        <w:t>‐</w:t>
      </w: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verbal techniques</w:t>
      </w:r>
    </w:p>
    <w:p w14:paraId="010AF68F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02904F6E" w14:textId="1ACAF87E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Adapts the ideas and concepts of CBT to facilitate the understanding of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and engagement in therapy of the child/young person and their parents/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carers.</w:t>
      </w:r>
    </w:p>
    <w:p w14:paraId="7543F05F" w14:textId="77ABC167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13277F23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A695C4F" w14:textId="001AAD1A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tailoring and adapting concepts and methods of CBT around the interests</w:t>
      </w:r>
    </w:p>
    <w:p w14:paraId="47070D8D" w14:textId="7A797E7A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of the child/young person</w:t>
      </w:r>
    </w:p>
    <w:p w14:paraId="21F5FFEA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49FC5AB" w14:textId="68280ABF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an appropriate range of verbal 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verbal methods to facilitate</w:t>
      </w:r>
    </w:p>
    <w:p w14:paraId="306F1D18" w14:textId="1D163968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understanding and engagement</w:t>
      </w:r>
    </w:p>
    <w:p w14:paraId="78A51CD3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1BBF1D1" w14:textId="059F01B6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creatively using a range of methods, e.g. talking, drawing, questionnaires,</w:t>
      </w:r>
    </w:p>
    <w:p w14:paraId="1238BF70" w14:textId="1C8DAC3D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metaphor, role play, puppets, etc., to convey ideas and concepts</w:t>
      </w:r>
    </w:p>
    <w:p w14:paraId="02155570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14DD5E" w14:textId="19AC77C7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utilising the preferred media of the child/young person, e.g. verbal, visual,</w:t>
      </w:r>
    </w:p>
    <w:p w14:paraId="097D230A" w14:textId="077B62C9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computer</w:t>
      </w:r>
    </w:p>
    <w:p w14:paraId="50BA2E12" w14:textId="118654F7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97634D6" w14:textId="058901C9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74162A66" wp14:editId="738DCC16">
            <wp:extent cx="5727700" cy="374713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187D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EBA7BD8" w14:textId="23897C3C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C6FD1A4" w14:textId="18CA78F4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A8EE7F5" w14:textId="47656823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1858E128" w14:textId="24C2783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38B017E" w14:textId="16C51000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1037F95" w14:textId="1E4237B8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D605759" w14:textId="2403D271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1ACFC1D" w14:textId="2450ADD1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628F721" w14:textId="2C9D7C6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0BAB6AA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2B95740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1F8FDA38" w14:textId="7B55142E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5 Investigation – reflection and insight</w:t>
      </w:r>
    </w:p>
    <w:p w14:paraId="09F41210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6CB3640B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Adopts an open and curious stance that facilitates guided discovery and</w:t>
      </w:r>
    </w:p>
    <w:p w14:paraId="7E0C527C" w14:textId="12968833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reflection.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33F3BB49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9C563AC" w14:textId="05FE6E87" w:rsidR="00127DB0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creating a process of collaborative inquiry in which the child/young</w:t>
      </w:r>
    </w:p>
    <w:p w14:paraId="0CE2F18F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48D8471" w14:textId="77777777" w:rsidR="00127DB0" w:rsidRPr="00103A0C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person’s and/or parents/carers’ cognitions, beliefs, and assumptions are</w:t>
      </w:r>
    </w:p>
    <w:p w14:paraId="241EBD6B" w14:textId="02C72347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subject to objective evaluation</w:t>
      </w:r>
    </w:p>
    <w:p w14:paraId="2CA11D8E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A556798" w14:textId="26692AC0" w:rsidR="00127DB0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involving the child/young person in the design of experiments</w:t>
      </w:r>
    </w:p>
    <w:p w14:paraId="2B99CC9C" w14:textId="77777777" w:rsidR="004F5A39" w:rsidRPr="00103A0C" w:rsidRDefault="004F5A39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9741520" w14:textId="5619D703" w:rsidR="00127DB0" w:rsidRPr="00103A0C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helping the child/young person and/or parents/carers to consider</w:t>
      </w:r>
    </w:p>
    <w:p w14:paraId="055B3D7A" w14:textId="52D8560C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alternative explanations about events</w:t>
      </w:r>
    </w:p>
    <w:p w14:paraId="5069E2C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852246D" w14:textId="3150B77E" w:rsidR="00127DB0" w:rsidRPr="00103A0C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the child/young person and/or parent/carer to reflect on the</w:t>
      </w:r>
    </w:p>
    <w:p w14:paraId="224C186E" w14:textId="384583FF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outcomes of experiments</w:t>
      </w:r>
    </w:p>
    <w:p w14:paraId="5DE594BE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BE05405" w14:textId="77777777" w:rsidR="00127DB0" w:rsidRPr="00103A0C" w:rsidRDefault="00127DB0" w:rsidP="00127DB0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71F2EEE" w14:textId="4E1F0623" w:rsidR="00127DB0" w:rsidRP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lastRenderedPageBreak/>
        <w:drawing>
          <wp:inline distT="0" distB="0" distL="0" distR="0" wp14:anchorId="45C64A9E" wp14:editId="74DFF09F">
            <wp:extent cx="5727700" cy="4132580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772B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10CB4FF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261CD0D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771DC8B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5799ED7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8A5B246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62EDC90B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931A298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25840D2" w14:textId="574690E6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6 Self</w:t>
      </w:r>
      <w:r w:rsidRPr="004F5A39">
        <w:rPr>
          <w:rFonts w:ascii="Cambria Math" w:hAnsi="Cambria Math" w:cs="Cambria Math"/>
          <w:b/>
          <w:bCs/>
          <w:color w:val="4472C4" w:themeColor="accent1"/>
          <w:sz w:val="22"/>
          <w:szCs w:val="22"/>
        </w:rPr>
        <w:t>‐</w:t>
      </w: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efficacy – build on strengths and ideas</w:t>
      </w:r>
    </w:p>
    <w:p w14:paraId="139F7645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7D8C8BE" w14:textId="10376F4C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Adopts an empowering and enabling approach in which self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efficacy and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positive attempts at change are promoted.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39B5746D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29A13AA" w14:textId="1B319D64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identifying and highlighting the child/young person’s and/or parents/</w:t>
      </w:r>
    </w:p>
    <w:p w14:paraId="5BF13726" w14:textId="4E590633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carers’ strengths and personal resources</w:t>
      </w:r>
    </w:p>
    <w:p w14:paraId="484FC492" w14:textId="77777777" w:rsidR="00C501D4" w:rsidRPr="00103A0C" w:rsidRDefault="00C501D4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FDD9734" w14:textId="26DB7EF2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helping the child/young person and/or parents/carers to identify skills</w:t>
      </w:r>
    </w:p>
    <w:p w14:paraId="02FE7D09" w14:textId="70DEBA03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strategies that have shown some past success</w:t>
      </w:r>
    </w:p>
    <w:p w14:paraId="2B92E915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80F7F42" w14:textId="46528AFF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developing and shaping the child/young person’s and/or parents/carers’</w:t>
      </w:r>
    </w:p>
    <w:p w14:paraId="059201A4" w14:textId="5296A7BB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ideas and coping strategies</w:t>
      </w:r>
    </w:p>
    <w:p w14:paraId="78AD988E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9330260" w14:textId="5FE0CC5D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praising and reinforcing the child/young person’s and/or parents/carers’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use of new skills</w:t>
      </w:r>
    </w:p>
    <w:p w14:paraId="585F03A3" w14:textId="501B5D4E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4D7520D" w14:textId="54BFDFD8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5FFB5070" wp14:editId="60FF824C">
            <wp:extent cx="5727700" cy="3705860"/>
            <wp:effectExtent l="0" t="0" r="0" b="254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316DD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514582F" w14:textId="4E0D0684" w:rsidR="00127DB0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4BFE405" w14:textId="309B8D80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5A9040BD" w14:textId="6B10794F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20AC60E" w14:textId="225CF8C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3BFCCB8" w14:textId="501D890F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81FD29A" w14:textId="17DF22BB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6443008" w14:textId="60F3836A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905518C" w14:textId="5C16521B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5F58C586" w14:textId="6B9E9F36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F4ECC49" w14:textId="4CFFD520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0DA006D8" w14:textId="4F33344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A688CC2" w14:textId="17ECE4F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617ABC4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0C9BB61" w14:textId="132115DC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7 Enjoyable – fun and engaging</w:t>
      </w:r>
    </w:p>
    <w:p w14:paraId="3E8BE73E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752B8FF" w14:textId="2DF391A0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Makes therapy sessions appropriately interesting and engaging.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609DBF0F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B8FF6F0" w14:textId="002663D6" w:rsidR="00127DB0" w:rsidRDefault="00127DB0" w:rsidP="00103A0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an appropriate mix of materials, activities, humour</w:t>
      </w:r>
    </w:p>
    <w:p w14:paraId="5BD0AB22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D012909" w14:textId="682743E7" w:rsidR="00127DB0" w:rsidRPr="00103A0C" w:rsidRDefault="00127DB0" w:rsidP="00127D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maintaining an appropriate balance between task 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task</w:t>
      </w:r>
    </w:p>
    <w:p w14:paraId="08A521B6" w14:textId="3A524F01" w:rsidR="004F5A39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(relationship strengthening) activities</w:t>
      </w:r>
    </w:p>
    <w:p w14:paraId="02AD9D8D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EB28D1E" w14:textId="74CB0DA6" w:rsidR="00127DB0" w:rsidRPr="00103A0C" w:rsidRDefault="00127DB0" w:rsidP="00127D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attending to the child/young person’s interests and appropriately</w:t>
      </w:r>
    </w:p>
    <w:p w14:paraId="62DC8E84" w14:textId="67D21A4D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incorporating these into the intervention</w:t>
      </w:r>
    </w:p>
    <w:p w14:paraId="0247E80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25436E5" w14:textId="1B9CDED0" w:rsidR="00127DB0" w:rsidRPr="00103A0C" w:rsidRDefault="00127DB0" w:rsidP="00127D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presenting as positive and hopeful</w:t>
      </w:r>
    </w:p>
    <w:p w14:paraId="73DAB15D" w14:textId="77777777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8238AD5" w14:textId="6C1C809E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C7F20F1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89C2749" w14:textId="1724D80C" w:rsidR="003D36F2" w:rsidRPr="00103A0C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7B8105D8" wp14:editId="1935BDD5">
            <wp:extent cx="5727700" cy="363347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64E9" w14:textId="05B000A3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C151168" w14:textId="541F749F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5C9E502" w14:textId="3D63511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62BF279" w14:textId="7F01C81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02674800" w14:textId="4F41C97E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9DBC809" w14:textId="6F95C2E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783A769B" w14:textId="23804118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0A4DEB99" w14:textId="77777777" w:rsidR="00C501D4" w:rsidRDefault="00C501D4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728AF882" w14:textId="586C7CF3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5025B81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0DC6F86B" w14:textId="50200AEF" w:rsidR="00127DB0" w:rsidRPr="00C501D4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 w:themeColor="text1"/>
          <w:sz w:val="28"/>
          <w:szCs w:val="28"/>
        </w:rPr>
      </w:pPr>
      <w:r w:rsidRPr="00C501D4">
        <w:rPr>
          <w:rFonts w:ascii="Verdana" w:hAnsi="Verdana" w:cs="Times New Roman"/>
          <w:color w:val="000000" w:themeColor="text1"/>
          <w:sz w:val="28"/>
          <w:szCs w:val="28"/>
        </w:rPr>
        <w:t>SKILL</w:t>
      </w:r>
      <w:r w:rsidR="00B53CB5" w:rsidRPr="00C501D4">
        <w:rPr>
          <w:rFonts w:ascii="Verdana" w:hAnsi="Verdana" w:cs="Times New Roman"/>
          <w:color w:val="000000" w:themeColor="text1"/>
          <w:sz w:val="28"/>
          <w:szCs w:val="28"/>
        </w:rPr>
        <w:t>S</w:t>
      </w:r>
    </w:p>
    <w:p w14:paraId="24808327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B4EB"/>
          <w:sz w:val="22"/>
          <w:szCs w:val="22"/>
        </w:rPr>
      </w:pPr>
    </w:p>
    <w:p w14:paraId="2534D612" w14:textId="3CB96822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Assessments and goals – ratings, diaries, questionnaires</w:t>
      </w:r>
    </w:p>
    <w:p w14:paraId="7C2F96EC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7054907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Establishes clear goals for the intervention and appropriately uses diaries,</w:t>
      </w:r>
    </w:p>
    <w:p w14:paraId="53511E00" w14:textId="71C617AF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questionnaires, and rating scales for assessment.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 by:</w:t>
      </w:r>
    </w:p>
    <w:p w14:paraId="57878F02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9F8D3D8" w14:textId="6C0DF85F" w:rsidR="00127DB0" w:rsidRPr="00103A0C" w:rsidRDefault="00127DB0" w:rsidP="00127DB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undertaking a full assessment of the presenting problem, involving, as</w:t>
      </w:r>
    </w:p>
    <w:p w14:paraId="09E3EA40" w14:textId="1FFC79D0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appropriate, reports from others</w:t>
      </w:r>
    </w:p>
    <w:p w14:paraId="33D9DB02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79E587E" w14:textId="5271E28E" w:rsidR="00127DB0" w:rsidRDefault="00127DB0" w:rsidP="00127DB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complimenting assessment with routine outcome measures (ROMs)</w:t>
      </w:r>
    </w:p>
    <w:p w14:paraId="760D52A6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0B598F0" w14:textId="4BAEE890" w:rsidR="00127DB0" w:rsidRDefault="00127DB0" w:rsidP="00127DB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negotiating goals and the dates when progress will be reviewed</w:t>
      </w:r>
    </w:p>
    <w:p w14:paraId="101CABAA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1B90DC0" w14:textId="64308CD9" w:rsidR="00127DB0" w:rsidRPr="00103A0C" w:rsidRDefault="00127DB0" w:rsidP="00127DB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diaries, tick charts, thought bubbles, and rating scales to identify</w:t>
      </w:r>
    </w:p>
    <w:p w14:paraId="23513B12" w14:textId="0A7173CE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assess symptoms, emotions, thoughts, and behaviour</w:t>
      </w:r>
    </w:p>
    <w:p w14:paraId="3D7465FA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E53DD7A" w14:textId="3578EDE1" w:rsidR="00127DB0" w:rsidRPr="00103A0C" w:rsidRDefault="00127DB0" w:rsidP="00127DB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assessing motivation and readiness to change</w:t>
      </w:r>
    </w:p>
    <w:p w14:paraId="2F23A3B6" w14:textId="77777777" w:rsidR="00127DB0" w:rsidRPr="00103A0C" w:rsidRDefault="00127DB0" w:rsidP="00127DB0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2649D82" w14:textId="7B4AA435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5D91F7D" w14:textId="388E71FE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4BB7FD8E" wp14:editId="5A1CF1FA">
            <wp:extent cx="5689600" cy="3683000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2E47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A66610F" w14:textId="798A6C6D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E6E9672" w14:textId="038E6F35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A4CE4ED" w14:textId="6A53F0B2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145CBA2" w14:textId="5DA1E010" w:rsidR="00C501D4" w:rsidRDefault="00C501D4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1DBA54" w14:textId="77777777" w:rsidR="00C501D4" w:rsidRDefault="00C501D4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BA34B25" w14:textId="6286875B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E03A1BF" w14:textId="4C61079C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8EB1D74" w14:textId="5ED5B492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77D1F2D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1B003E6" w14:textId="43A0274C" w:rsidR="00041DE7" w:rsidRPr="004F5A39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Formulation – integration of CBT model</w:t>
      </w:r>
    </w:p>
    <w:p w14:paraId="6D1ED690" w14:textId="77777777" w:rsidR="00041DE7" w:rsidRPr="004F5A39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08928EFC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Facilitates the development of a coherent understanding which highlights</w:t>
      </w:r>
    </w:p>
    <w:p w14:paraId="798419E8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the relationships between events, cognitions, emotions, physiological</w:t>
      </w:r>
    </w:p>
    <w:p w14:paraId="28E959EE" w14:textId="3BC0A10A" w:rsidR="00041DE7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responses, and behaviours.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67EED75E" w14:textId="77777777" w:rsidR="00103A0C" w:rsidRPr="00103A0C" w:rsidRDefault="00103A0C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B2BCF56" w14:textId="7ED69018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providing a coherent and understandable rationale for the use of CBT</w:t>
      </w:r>
    </w:p>
    <w:p w14:paraId="0862DECF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ABDE1D7" w14:textId="6A9B6279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providing a collaborative understanding of events in which the links</w:t>
      </w:r>
    </w:p>
    <w:p w14:paraId="618DFFDF" w14:textId="77777777" w:rsidR="00041DE7" w:rsidRPr="00103A0C" w:rsidRDefault="00041DE7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between specific events, thoughts, emotions, and behaviour are</w:t>
      </w:r>
    </w:p>
    <w:p w14:paraId="1F9DF723" w14:textId="2E65D2EF" w:rsidR="00041DE7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highlighted (maintenance formulations)</w:t>
      </w:r>
    </w:p>
    <w:p w14:paraId="1359DCD7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A1ECD7D" w14:textId="5569731A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providing an understanding of important past events and relationships in</w:t>
      </w:r>
    </w:p>
    <w:p w14:paraId="5ABDEABB" w14:textId="52759F1E" w:rsidR="00041DE7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the development of the current problems (onset formulations)</w:t>
      </w:r>
    </w:p>
    <w:p w14:paraId="05663285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2E2FC39" w14:textId="0ABA31BA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including, as appropriate, the role of parents/carers in the onset or</w:t>
      </w:r>
    </w:p>
    <w:p w14:paraId="4C1B9C08" w14:textId="70AF90D3" w:rsidR="004F5A39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maintenance of the child/young person’s problems</w:t>
      </w:r>
    </w:p>
    <w:p w14:paraId="13FD1F89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A7902BD" w14:textId="34121D14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clearly linking activities and goals/targets to the formulation.</w:t>
      </w:r>
    </w:p>
    <w:p w14:paraId="35F2475B" w14:textId="77777777" w:rsidR="00041DE7" w:rsidRPr="00103A0C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F6AEC0B" w14:textId="42660B64" w:rsidR="00041DE7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23CA9E5" w14:textId="5C4E91D4" w:rsidR="00137C18" w:rsidRDefault="00137C18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D3D5179" w14:textId="69FBD09F" w:rsidR="00137C18" w:rsidRPr="00103A0C" w:rsidRDefault="00137C18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lastRenderedPageBreak/>
        <w:drawing>
          <wp:inline distT="0" distB="0" distL="0" distR="0" wp14:anchorId="7C7F4E15" wp14:editId="478B3466">
            <wp:extent cx="5727700" cy="3585845"/>
            <wp:effectExtent l="0" t="0" r="0" b="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C201" w14:textId="6299E226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62668E5" w14:textId="1A53E87D" w:rsidR="00041DE7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00AC460" w14:textId="581C5CDB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323306C" w14:textId="08058A89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7A06171" w14:textId="3EC70451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73FD7037" w14:textId="5CC6D12F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253E4CB" w14:textId="777D2F16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18845C0D" w14:textId="28CC1858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8CEB598" w14:textId="77777777" w:rsidR="004F5A39" w:rsidRPr="00103A0C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7A92EC6F" w14:textId="7BD7062F" w:rsidR="00041DE7" w:rsidRPr="002348D2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2348D2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General skills – session planning and organisation</w:t>
      </w:r>
    </w:p>
    <w:p w14:paraId="581C067F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365DFEE" w14:textId="6D1968F3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Sessions are well prepared and conducted in a calm and organised way.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0D2AF280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64C68BB" w14:textId="350B9FC6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preparing and bringing the necessary materials and equipment to the</w:t>
      </w:r>
    </w:p>
    <w:p w14:paraId="0C5A9B6A" w14:textId="51A6ABBE" w:rsidR="00041DE7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meeting</w:t>
      </w:r>
    </w:p>
    <w:p w14:paraId="0217704C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B08DDF2" w14:textId="05DBE4FE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managing the child/young person’s behaviour during sessions</w:t>
      </w:r>
    </w:p>
    <w:p w14:paraId="5FEC9C18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E37355F" w14:textId="695B5D52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that sessions have an agenda and clear goals and are</w:t>
      </w:r>
    </w:p>
    <w:p w14:paraId="36809A54" w14:textId="68AC4499" w:rsidR="004F5A39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structured</w:t>
      </w:r>
    </w:p>
    <w:p w14:paraId="33D080BE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6BF8EE9" w14:textId="5CBE0D46" w:rsidR="004F5A39" w:rsidRDefault="00041DE7" w:rsidP="004F5A3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good timekeeping so that all tasks are completed</w:t>
      </w:r>
    </w:p>
    <w:p w14:paraId="02100C00" w14:textId="77777777" w:rsidR="004F5A39" w:rsidRPr="004F5A39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52C6F9F" w14:textId="3AF5014D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lastRenderedPageBreak/>
        <w:t>ensuring that sessions are appropriately paced, flexible, and responsive to</w:t>
      </w:r>
    </w:p>
    <w:p w14:paraId="14C2DAFD" w14:textId="3F41B049" w:rsidR="00041DE7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the needs of the child/young person</w:t>
      </w:r>
    </w:p>
    <w:p w14:paraId="5614B064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257E68B" w14:textId="45BFC7A6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preparing for endings and relapse prevention</w:t>
      </w:r>
    </w:p>
    <w:p w14:paraId="695B146D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DE43238" w14:textId="77777777" w:rsidR="00041DE7" w:rsidRPr="00103A0C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162D91D" w14:textId="37388CCC" w:rsidR="00137C18" w:rsidRPr="00103A0C" w:rsidRDefault="00137C18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0F7E3166" wp14:editId="6C0B3A00">
            <wp:extent cx="5727700" cy="3013710"/>
            <wp:effectExtent l="0" t="0" r="0" b="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54CA2" w14:textId="662B93BB" w:rsidR="00041DE7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0CF499F" w14:textId="1B4826B1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A01042E" w14:textId="540A352C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A6B85F" w14:textId="64FBD0C1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B845774" w14:textId="0F1BC0BB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6BD7344" w14:textId="1CFBCD6C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3047A49" w14:textId="5DD3F206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F8B02B" w14:textId="2D8B1FE3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D531F21" w14:textId="08DE22C3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CE84A49" w14:textId="0676BC3F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4207BAE" w14:textId="3D357DEE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46B4B72" w14:textId="3FA5F0BF" w:rsidR="00041DE7" w:rsidRPr="00103A0C" w:rsidRDefault="00041DE7" w:rsidP="00041DE7">
      <w:pPr>
        <w:rPr>
          <w:rFonts w:ascii="Verdana" w:hAnsi="Verdana"/>
          <w:sz w:val="22"/>
          <w:szCs w:val="22"/>
        </w:rPr>
      </w:pPr>
    </w:p>
    <w:sectPr w:rsidR="00041DE7" w:rsidRPr="00103A0C" w:rsidSect="001B4E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4DF"/>
    <w:multiLevelType w:val="hybridMultilevel"/>
    <w:tmpl w:val="012E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CF5"/>
    <w:multiLevelType w:val="hybridMultilevel"/>
    <w:tmpl w:val="54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116D"/>
    <w:multiLevelType w:val="hybridMultilevel"/>
    <w:tmpl w:val="721C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4AE"/>
    <w:multiLevelType w:val="hybridMultilevel"/>
    <w:tmpl w:val="6E00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6CA"/>
    <w:multiLevelType w:val="hybridMultilevel"/>
    <w:tmpl w:val="886E8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17547"/>
    <w:multiLevelType w:val="hybridMultilevel"/>
    <w:tmpl w:val="D6D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2D40"/>
    <w:multiLevelType w:val="hybridMultilevel"/>
    <w:tmpl w:val="4466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3AD0"/>
    <w:multiLevelType w:val="hybridMultilevel"/>
    <w:tmpl w:val="07DCD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AF7A59"/>
    <w:multiLevelType w:val="hybridMultilevel"/>
    <w:tmpl w:val="EE363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1E97"/>
    <w:multiLevelType w:val="hybridMultilevel"/>
    <w:tmpl w:val="D240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C6780"/>
    <w:multiLevelType w:val="hybridMultilevel"/>
    <w:tmpl w:val="B060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D65CB"/>
    <w:multiLevelType w:val="hybridMultilevel"/>
    <w:tmpl w:val="79E0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2401"/>
    <w:multiLevelType w:val="hybridMultilevel"/>
    <w:tmpl w:val="01DA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5B9F"/>
    <w:multiLevelType w:val="hybridMultilevel"/>
    <w:tmpl w:val="5F12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B0"/>
    <w:rsid w:val="00041DE7"/>
    <w:rsid w:val="000D63BA"/>
    <w:rsid w:val="00103A0C"/>
    <w:rsid w:val="00127DB0"/>
    <w:rsid w:val="00137C18"/>
    <w:rsid w:val="001B4E93"/>
    <w:rsid w:val="002348D2"/>
    <w:rsid w:val="002453D7"/>
    <w:rsid w:val="0030641B"/>
    <w:rsid w:val="003112ED"/>
    <w:rsid w:val="003D36F2"/>
    <w:rsid w:val="003F51CA"/>
    <w:rsid w:val="004401B0"/>
    <w:rsid w:val="004F5A39"/>
    <w:rsid w:val="00501A7E"/>
    <w:rsid w:val="0059104A"/>
    <w:rsid w:val="00627203"/>
    <w:rsid w:val="00660328"/>
    <w:rsid w:val="00963412"/>
    <w:rsid w:val="00974F4B"/>
    <w:rsid w:val="00A41B61"/>
    <w:rsid w:val="00B53CB5"/>
    <w:rsid w:val="00C501D4"/>
    <w:rsid w:val="00D916E6"/>
    <w:rsid w:val="00D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10A4"/>
  <w14:defaultImageDpi w14:val="32767"/>
  <w15:chartTrackingRefBased/>
  <w15:docId w15:val="{F67C503F-5CB4-304D-8C38-FF16DD0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980</Words>
  <Characters>5587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SIMON</dc:creator>
  <cp:keywords/>
  <dc:description/>
  <cp:lastModifiedBy>Hockaday, Ann</cp:lastModifiedBy>
  <cp:revision>2</cp:revision>
  <cp:lastPrinted>2021-03-24T11:02:00Z</cp:lastPrinted>
  <dcterms:created xsi:type="dcterms:W3CDTF">2021-03-29T16:28:00Z</dcterms:created>
  <dcterms:modified xsi:type="dcterms:W3CDTF">2021-03-29T16:28:00Z</dcterms:modified>
</cp:coreProperties>
</file>